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9A9B2" w14:textId="7AB462AB" w:rsidR="00697DF2" w:rsidRDefault="00697DF2" w:rsidP="00697DF2">
      <w:pPr>
        <w:rPr>
          <w:b/>
          <w:bCs/>
          <w:kern w:val="144"/>
          <w:sz w:val="20"/>
          <w:szCs w:val="20"/>
        </w:rPr>
      </w:pPr>
      <w:r>
        <w:rPr>
          <w:b/>
          <w:bCs/>
          <w:kern w:val="144"/>
          <w:sz w:val="20"/>
          <w:szCs w:val="20"/>
        </w:rPr>
        <w:t>Nr sprawy ZP/04/2026                                                                                                                                  Załącznik nr 2 do SWZ</w:t>
      </w:r>
    </w:p>
    <w:p w14:paraId="624A1105" w14:textId="6FE5FA8B" w:rsidR="00957EA8" w:rsidRPr="00697DF2" w:rsidRDefault="00957EA8" w:rsidP="00697DF2">
      <w:pPr>
        <w:jc w:val="center"/>
        <w:rPr>
          <w:kern w:val="144"/>
          <w:sz w:val="20"/>
          <w:szCs w:val="20"/>
        </w:rPr>
      </w:pPr>
      <w:r w:rsidRPr="00697DF2">
        <w:rPr>
          <w:b/>
          <w:bCs/>
          <w:kern w:val="144"/>
          <w:sz w:val="20"/>
          <w:szCs w:val="20"/>
        </w:rPr>
        <w:t>Opis przedmiotu zamówienia</w:t>
      </w:r>
    </w:p>
    <w:p w14:paraId="440BA8FD" w14:textId="77777777" w:rsidR="003B1AA1" w:rsidRPr="00697DF2" w:rsidRDefault="003B1AA1" w:rsidP="00697DF2">
      <w:pPr>
        <w:rPr>
          <w:b/>
          <w:bCs/>
          <w:kern w:val="144"/>
          <w:sz w:val="20"/>
          <w:szCs w:val="20"/>
        </w:rPr>
      </w:pPr>
    </w:p>
    <w:p w14:paraId="0BFB00E0" w14:textId="773B912F" w:rsidR="003B1AA1" w:rsidRPr="00697DF2" w:rsidRDefault="003B1AA1" w:rsidP="00697DF2">
      <w:pPr>
        <w:rPr>
          <w:b/>
          <w:bCs/>
          <w:kern w:val="144"/>
          <w:sz w:val="20"/>
          <w:szCs w:val="20"/>
        </w:rPr>
      </w:pPr>
      <w:r w:rsidRPr="00697DF2">
        <w:rPr>
          <w:b/>
          <w:bCs/>
          <w:kern w:val="144"/>
          <w:sz w:val="20"/>
          <w:szCs w:val="20"/>
        </w:rPr>
        <w:t xml:space="preserve">Część 1 - </w:t>
      </w:r>
      <w:r w:rsidRPr="00697DF2">
        <w:rPr>
          <w:b/>
          <w:sz w:val="20"/>
          <w:szCs w:val="20"/>
        </w:rPr>
        <w:t xml:space="preserve">dostawy 1 500 (jednego tysiąca pięciuset) pojemników transferowych á 3 x 200ml </w:t>
      </w:r>
    </w:p>
    <w:p w14:paraId="0FA8B690" w14:textId="433DA3F9" w:rsidR="003B1AA1" w:rsidRPr="00697DF2" w:rsidRDefault="003B1AA1" w:rsidP="00697DF2">
      <w:pPr>
        <w:jc w:val="both"/>
        <w:rPr>
          <w:kern w:val="144"/>
          <w:sz w:val="20"/>
          <w:szCs w:val="20"/>
        </w:rPr>
      </w:pPr>
      <w:r w:rsidRPr="00697DF2">
        <w:rPr>
          <w:kern w:val="144"/>
          <w:sz w:val="20"/>
          <w:szCs w:val="20"/>
        </w:rPr>
        <w:t>Zastosowanie:</w:t>
      </w:r>
      <w:r w:rsidRPr="00697DF2">
        <w:rPr>
          <w:sz w:val="20"/>
          <w:szCs w:val="20"/>
          <w14:shadow w14:blurRad="50800" w14:dist="38100" w14:dir="2700000" w14:sx="100000" w14:sy="100000" w14:kx="0" w14:ky="0" w14:algn="tl">
            <w14:srgbClr w14:val="000000">
              <w14:alpha w14:val="60000"/>
            </w14:srgbClr>
          </w14:shadow>
        </w:rPr>
        <w:t xml:space="preserve"> </w:t>
      </w:r>
      <w:r w:rsidRPr="00697DF2">
        <w:rPr>
          <w:kern w:val="144"/>
          <w:sz w:val="20"/>
          <w:szCs w:val="20"/>
        </w:rPr>
        <w:t>do preparatyki krwi i jej składników,</w:t>
      </w:r>
      <w:r w:rsidRPr="00697DF2">
        <w:rPr>
          <w:sz w:val="20"/>
          <w:szCs w:val="20"/>
        </w:rPr>
        <w:t xml:space="preserve"> do podziału osocza świeżo mrożonego pobranego metodą plazmaferezy</w:t>
      </w:r>
    </w:p>
    <w:p w14:paraId="2F5A1AF0" w14:textId="5014888F" w:rsidR="003B1AA1" w:rsidRPr="00697DF2" w:rsidRDefault="003B1AA1" w:rsidP="00697DF2">
      <w:pPr>
        <w:tabs>
          <w:tab w:val="left" w:pos="7200"/>
        </w:tabs>
        <w:jc w:val="both"/>
        <w:rPr>
          <w:b/>
          <w:bCs/>
          <w:sz w:val="20"/>
          <w:szCs w:val="20"/>
        </w:rPr>
      </w:pPr>
      <w:r w:rsidRPr="00697DF2">
        <w:rPr>
          <w:b/>
          <w:bCs/>
          <w:sz w:val="20"/>
          <w:szCs w:val="20"/>
        </w:rPr>
        <w:t>Wymagane do spełnienia parametry graniczne dotyczące pojemników:</w:t>
      </w:r>
    </w:p>
    <w:p w14:paraId="2EC83671" w14:textId="77777777" w:rsidR="003B1AA1" w:rsidRPr="00697DF2" w:rsidRDefault="003B1AA1" w:rsidP="00697DF2">
      <w:pPr>
        <w:numPr>
          <w:ilvl w:val="0"/>
          <w:numId w:val="9"/>
        </w:numPr>
        <w:jc w:val="both"/>
        <w:rPr>
          <w:rStyle w:val="FontStyle149"/>
          <w:bCs/>
          <w:kern w:val="144"/>
        </w:rPr>
      </w:pPr>
      <w:r w:rsidRPr="00697DF2">
        <w:rPr>
          <w:rStyle w:val="FontStyle149"/>
        </w:rPr>
        <w:t>Budowa:  każdy pojedynczy pojemnik posiada dren o długości min. 40 cm,  dreny pojemników łączą się do wspólnego drenu o długości około 10 cm z igłą plastikową typu „</w:t>
      </w:r>
      <w:r w:rsidRPr="00697DF2">
        <w:rPr>
          <w:rStyle w:val="FontStyle149"/>
          <w:smallCaps/>
        </w:rPr>
        <w:t>spike</w:t>
      </w:r>
      <w:r w:rsidRPr="00697DF2">
        <w:rPr>
          <w:rStyle w:val="FontStyle149"/>
        </w:rPr>
        <w:t xml:space="preserve">". </w:t>
      </w:r>
    </w:p>
    <w:p w14:paraId="51DD4AF1" w14:textId="77777777" w:rsidR="003B1AA1" w:rsidRPr="00697DF2" w:rsidRDefault="003B1AA1" w:rsidP="00697DF2">
      <w:pPr>
        <w:numPr>
          <w:ilvl w:val="0"/>
          <w:numId w:val="9"/>
        </w:numPr>
        <w:jc w:val="both"/>
        <w:rPr>
          <w:sz w:val="20"/>
          <w:szCs w:val="20"/>
        </w:rPr>
      </w:pPr>
      <w:r w:rsidRPr="00697DF2">
        <w:rPr>
          <w:sz w:val="20"/>
          <w:szCs w:val="20"/>
        </w:rPr>
        <w:t>Pojemniki muszą być sterylne, nietoksyczne, apyrogenne, jednorazowego użytku.</w:t>
      </w:r>
    </w:p>
    <w:p w14:paraId="3190DABD" w14:textId="77777777" w:rsidR="003B1AA1" w:rsidRPr="00697DF2" w:rsidRDefault="003B1AA1" w:rsidP="00697DF2">
      <w:pPr>
        <w:numPr>
          <w:ilvl w:val="0"/>
          <w:numId w:val="9"/>
        </w:numPr>
        <w:jc w:val="both"/>
        <w:rPr>
          <w:rStyle w:val="FontStyle148"/>
          <w:bCs/>
          <w:kern w:val="144"/>
          <w:sz w:val="20"/>
          <w:szCs w:val="20"/>
        </w:rPr>
      </w:pPr>
      <w:r w:rsidRPr="00697DF2">
        <w:rPr>
          <w:kern w:val="144"/>
          <w:sz w:val="20"/>
          <w:szCs w:val="20"/>
        </w:rPr>
        <w:t>Wszystkie dreny muszą być elastyczne, umożliwiać łatwe rolowanie</w:t>
      </w:r>
      <w:r w:rsidRPr="00697DF2">
        <w:rPr>
          <w:rStyle w:val="FontStyle148"/>
          <w:sz w:val="20"/>
          <w:szCs w:val="20"/>
        </w:rPr>
        <w:t xml:space="preserve"> i skuteczne zadziałanie posiadanych zgrzewarek.</w:t>
      </w:r>
    </w:p>
    <w:p w14:paraId="1D2460AD" w14:textId="77777777" w:rsidR="003B1AA1" w:rsidRPr="00697DF2" w:rsidRDefault="003B1AA1" w:rsidP="00697DF2">
      <w:pPr>
        <w:numPr>
          <w:ilvl w:val="0"/>
          <w:numId w:val="9"/>
        </w:numPr>
        <w:jc w:val="both"/>
        <w:rPr>
          <w:bCs/>
          <w:kern w:val="144"/>
          <w:sz w:val="20"/>
          <w:szCs w:val="20"/>
        </w:rPr>
      </w:pPr>
      <w:r w:rsidRPr="00697DF2">
        <w:rPr>
          <w:kern w:val="144"/>
          <w:sz w:val="20"/>
          <w:szCs w:val="20"/>
        </w:rPr>
        <w:t>Dreny muszą posiadać oznakowanie, umożliwiające ich identyfikację i jednoznaczne przyporządkowanie do danego pojemnika po odłączeniu od zestawu.</w:t>
      </w:r>
    </w:p>
    <w:p w14:paraId="179D826D" w14:textId="4B518B88" w:rsidR="003B1AA1" w:rsidRPr="00697DF2" w:rsidRDefault="003B1AA1" w:rsidP="00697DF2">
      <w:pPr>
        <w:numPr>
          <w:ilvl w:val="0"/>
          <w:numId w:val="9"/>
        </w:numPr>
        <w:jc w:val="both"/>
        <w:rPr>
          <w:iCs/>
          <w:sz w:val="20"/>
          <w:szCs w:val="20"/>
        </w:rPr>
      </w:pPr>
      <w:r w:rsidRPr="00697DF2">
        <w:rPr>
          <w:iCs/>
          <w:sz w:val="20"/>
          <w:szCs w:val="20"/>
        </w:rPr>
        <w:t xml:space="preserve">Średnica drenów powinna mieć wymiary zapewniające wzajemną kompatybilność drenów różnych pojemników, </w:t>
      </w:r>
      <w:r w:rsidRPr="00697DF2">
        <w:rPr>
          <w:iCs/>
          <w:sz w:val="20"/>
          <w:szCs w:val="20"/>
        </w:rPr>
        <w:br/>
        <w:t>aby umożliwić ich połączenia w układzie otwartym i zamkniętym.</w:t>
      </w:r>
    </w:p>
    <w:p w14:paraId="10A13E35" w14:textId="45376918" w:rsidR="003B1AA1" w:rsidRPr="00697DF2" w:rsidRDefault="003B1AA1" w:rsidP="00697DF2">
      <w:pPr>
        <w:numPr>
          <w:ilvl w:val="0"/>
          <w:numId w:val="9"/>
        </w:numPr>
        <w:jc w:val="both"/>
        <w:rPr>
          <w:rStyle w:val="FontStyle117"/>
          <w:bCs/>
          <w:kern w:val="144"/>
          <w:sz w:val="20"/>
          <w:szCs w:val="20"/>
        </w:rPr>
      </w:pPr>
      <w:r w:rsidRPr="00697DF2">
        <w:rPr>
          <w:iCs/>
          <w:sz w:val="20"/>
          <w:szCs w:val="20"/>
        </w:rPr>
        <w:t xml:space="preserve">Pojemnik powinien być wykonany z tworzywa umożliwiającego przechowywanie składników czerwonokrwinkowych </w:t>
      </w:r>
      <w:r w:rsidRPr="00697DF2">
        <w:rPr>
          <w:iCs/>
          <w:sz w:val="20"/>
          <w:szCs w:val="20"/>
        </w:rPr>
        <w:br/>
        <w:t>w temperaturze od +2°C do +6</w:t>
      </w:r>
      <w:r w:rsidRPr="00697DF2">
        <w:rPr>
          <w:iCs/>
          <w:sz w:val="20"/>
          <w:szCs w:val="20"/>
          <w:vertAlign w:val="superscript"/>
        </w:rPr>
        <w:t>o</w:t>
      </w:r>
      <w:r w:rsidRPr="00697DF2">
        <w:rPr>
          <w:iCs/>
          <w:sz w:val="20"/>
          <w:szCs w:val="20"/>
        </w:rPr>
        <w:t>C.</w:t>
      </w:r>
    </w:p>
    <w:p w14:paraId="14DC29FC" w14:textId="1262CDA8" w:rsidR="003B1AA1" w:rsidRPr="00697DF2" w:rsidRDefault="003B1AA1" w:rsidP="00697DF2">
      <w:pPr>
        <w:numPr>
          <w:ilvl w:val="0"/>
          <w:numId w:val="9"/>
        </w:numPr>
        <w:jc w:val="both"/>
        <w:rPr>
          <w:bCs/>
          <w:kern w:val="144"/>
          <w:sz w:val="20"/>
          <w:szCs w:val="20"/>
        </w:rPr>
      </w:pPr>
      <w:r w:rsidRPr="00697DF2">
        <w:rPr>
          <w:rStyle w:val="FontStyle117"/>
          <w:sz w:val="20"/>
          <w:szCs w:val="20"/>
        </w:rPr>
        <w:t>Tworzywo, z którego wykonane są pojemniki musi być przejrzyste, umożliwiające wizualną ocenę pojemnika i składnika znajdującego się w pojemniku oraz</w:t>
      </w:r>
      <w:r w:rsidRPr="00697DF2">
        <w:rPr>
          <w:sz w:val="20"/>
          <w:szCs w:val="20"/>
        </w:rPr>
        <w:t xml:space="preserve"> powinno zapewniać możliwość zamrażania szokowego w temperaturze -60</w:t>
      </w:r>
      <w:r w:rsidRPr="00697DF2">
        <w:rPr>
          <w:sz w:val="20"/>
          <w:szCs w:val="20"/>
          <w:vertAlign w:val="superscript"/>
        </w:rPr>
        <w:t>0</w:t>
      </w:r>
      <w:r w:rsidRPr="00697DF2">
        <w:rPr>
          <w:sz w:val="20"/>
          <w:szCs w:val="20"/>
        </w:rPr>
        <w:t xml:space="preserve">C </w:t>
      </w:r>
      <w:r w:rsidRPr="00697DF2">
        <w:rPr>
          <w:sz w:val="20"/>
          <w:szCs w:val="20"/>
        </w:rPr>
        <w:br/>
        <w:t>i bezpiecznego przechowywania w temperaturze od -25</w:t>
      </w:r>
      <w:r w:rsidRPr="00697DF2">
        <w:rPr>
          <w:sz w:val="20"/>
          <w:szCs w:val="20"/>
          <w:vertAlign w:val="superscript"/>
        </w:rPr>
        <w:t>0</w:t>
      </w:r>
      <w:r w:rsidRPr="00697DF2">
        <w:rPr>
          <w:sz w:val="20"/>
          <w:szCs w:val="20"/>
        </w:rPr>
        <w:t>C  do - 90</w:t>
      </w:r>
      <w:r w:rsidRPr="00697DF2">
        <w:rPr>
          <w:sz w:val="20"/>
          <w:szCs w:val="20"/>
          <w:vertAlign w:val="superscript"/>
        </w:rPr>
        <w:t>0</w:t>
      </w:r>
      <w:r w:rsidRPr="00697DF2">
        <w:rPr>
          <w:sz w:val="20"/>
          <w:szCs w:val="20"/>
        </w:rPr>
        <w:t>C z zachowaniem elastyczności i jałowości pojemnika.</w:t>
      </w:r>
    </w:p>
    <w:p w14:paraId="5D435AE6" w14:textId="77777777" w:rsidR="003B1AA1" w:rsidRPr="00697DF2" w:rsidRDefault="003B1AA1" w:rsidP="00697DF2">
      <w:pPr>
        <w:numPr>
          <w:ilvl w:val="0"/>
          <w:numId w:val="9"/>
        </w:numPr>
        <w:autoSpaceDE w:val="0"/>
        <w:autoSpaceDN w:val="0"/>
        <w:adjustRightInd w:val="0"/>
        <w:jc w:val="both"/>
        <w:rPr>
          <w:rStyle w:val="FontStyle117"/>
          <w:bCs/>
          <w:sz w:val="20"/>
          <w:szCs w:val="20"/>
        </w:rPr>
      </w:pPr>
      <w:r w:rsidRPr="00697DF2">
        <w:rPr>
          <w:sz w:val="20"/>
          <w:szCs w:val="20"/>
        </w:rPr>
        <w:t>Tworzywo pojemników musi być zgodne z zapisami w Farmakopei Europejskiej.</w:t>
      </w:r>
    </w:p>
    <w:p w14:paraId="7C0305CA" w14:textId="7378530F" w:rsidR="003B1AA1" w:rsidRPr="00697DF2" w:rsidRDefault="003B1AA1" w:rsidP="00697DF2">
      <w:pPr>
        <w:numPr>
          <w:ilvl w:val="0"/>
          <w:numId w:val="9"/>
        </w:numPr>
        <w:jc w:val="both"/>
        <w:rPr>
          <w:rStyle w:val="FontStyle117"/>
          <w:bCs/>
          <w:kern w:val="144"/>
          <w:sz w:val="20"/>
          <w:szCs w:val="20"/>
        </w:rPr>
      </w:pPr>
      <w:r w:rsidRPr="00697DF2">
        <w:rPr>
          <w:kern w:val="144"/>
          <w:sz w:val="20"/>
          <w:szCs w:val="20"/>
        </w:rPr>
        <w:t xml:space="preserve">Na wszystkich pojemnikach muszą być trwale umocowane etykiety, które nie mogą ulegać uszkodzeniom ani odklejeniu </w:t>
      </w:r>
      <w:r w:rsidRPr="00697DF2">
        <w:rPr>
          <w:kern w:val="144"/>
          <w:sz w:val="20"/>
          <w:szCs w:val="20"/>
        </w:rPr>
        <w:br/>
        <w:t xml:space="preserve">w czasie preparatyki i przechowywania oraz których nie może zerwać użytkownik. </w:t>
      </w:r>
    </w:p>
    <w:p w14:paraId="37DC04D4" w14:textId="654C4802" w:rsidR="003B1AA1" w:rsidRPr="00697DF2" w:rsidRDefault="003B1AA1" w:rsidP="00697DF2">
      <w:pPr>
        <w:numPr>
          <w:ilvl w:val="0"/>
          <w:numId w:val="9"/>
        </w:numPr>
        <w:jc w:val="both"/>
        <w:rPr>
          <w:sz w:val="20"/>
          <w:szCs w:val="20"/>
        </w:rPr>
      </w:pPr>
      <w:r w:rsidRPr="00697DF2">
        <w:rPr>
          <w:sz w:val="20"/>
          <w:szCs w:val="20"/>
        </w:rPr>
        <w:t>Etykiety pojemników muszą być w języku polskim, zawierać informację o przeznaczeniu pojemnika i pojemności, numer serii w postaci literowo-cyfrowej i kodu kreskowego oraz datę ważności i znak CE. Zamawiający dopuszcza etykiety z piktogramami zgodnymi z normą i standardami ISO 3826-2 pod warunkiem dołączenia instrukcji w języku polskim, gdzie wyjaśnione jest znaczenie piktogramów.</w:t>
      </w:r>
    </w:p>
    <w:p w14:paraId="0EB1FACE" w14:textId="77777777" w:rsidR="003B1AA1" w:rsidRPr="00697DF2" w:rsidRDefault="003B1AA1" w:rsidP="00697DF2">
      <w:pPr>
        <w:numPr>
          <w:ilvl w:val="0"/>
          <w:numId w:val="9"/>
        </w:numPr>
        <w:jc w:val="both"/>
        <w:rPr>
          <w:color w:val="000000"/>
          <w:sz w:val="20"/>
          <w:szCs w:val="20"/>
        </w:rPr>
      </w:pPr>
      <w:r w:rsidRPr="00697DF2">
        <w:rPr>
          <w:sz w:val="20"/>
          <w:szCs w:val="20"/>
        </w:rPr>
        <w:t>Pojemniki powinny mieć wymiary</w:t>
      </w:r>
      <w:r w:rsidRPr="00697DF2">
        <w:rPr>
          <w:color w:val="000000"/>
          <w:sz w:val="20"/>
          <w:szCs w:val="20"/>
        </w:rPr>
        <w:t xml:space="preserve"> umożliwiające przyklejenie na nich etykiety głównej o wymiarach 10,16 cm x 10,16 cm - zgodnej z wymaganiami ISBT 128 (międzynarodowy standard oznakowania krwi i jej składników).</w:t>
      </w:r>
    </w:p>
    <w:p w14:paraId="5CEF76BE" w14:textId="77777777" w:rsidR="003B1AA1" w:rsidRPr="00697DF2" w:rsidRDefault="003B1AA1" w:rsidP="00697DF2">
      <w:pPr>
        <w:numPr>
          <w:ilvl w:val="0"/>
          <w:numId w:val="9"/>
        </w:numPr>
        <w:jc w:val="both"/>
        <w:rPr>
          <w:bCs/>
          <w:kern w:val="144"/>
          <w:sz w:val="20"/>
          <w:szCs w:val="20"/>
        </w:rPr>
      </w:pPr>
      <w:r w:rsidRPr="00697DF2">
        <w:rPr>
          <w:sz w:val="20"/>
          <w:szCs w:val="20"/>
        </w:rPr>
        <w:t>Pojemniki powinny zawierać co najmniej 2 porty zabezpieczone błoną od wewnątrz oraz odpowiednią ochroną z zewnątrz zapewniającą jałowość, umożliwiające łatwy dostęp do podłączenia zestawu do przetoczenia.</w:t>
      </w:r>
    </w:p>
    <w:p w14:paraId="69AB42EB" w14:textId="77777777" w:rsidR="003B1AA1" w:rsidRPr="00697DF2" w:rsidRDefault="003B1AA1" w:rsidP="00697DF2">
      <w:pPr>
        <w:numPr>
          <w:ilvl w:val="0"/>
          <w:numId w:val="9"/>
        </w:numPr>
        <w:jc w:val="both"/>
        <w:rPr>
          <w:bCs/>
          <w:kern w:val="144"/>
          <w:sz w:val="20"/>
          <w:szCs w:val="20"/>
        </w:rPr>
      </w:pPr>
      <w:r w:rsidRPr="00697DF2">
        <w:rPr>
          <w:iCs/>
          <w:sz w:val="20"/>
          <w:szCs w:val="20"/>
        </w:rPr>
        <w:t>C</w:t>
      </w:r>
      <w:r w:rsidRPr="00697DF2">
        <w:rPr>
          <w:bCs/>
          <w:iCs/>
          <w:kern w:val="144"/>
          <w:sz w:val="20"/>
          <w:szCs w:val="20"/>
        </w:rPr>
        <w:t>entralnie na dolnej krawędzi pojemnika, powinno znajdować się podłużne nacięcie materiału pojemnika, umożliwiające zawieszanie pojemników na haczykach statywów transfuzyjnych.</w:t>
      </w:r>
    </w:p>
    <w:p w14:paraId="6A3320CA" w14:textId="77777777" w:rsidR="003B1AA1" w:rsidRPr="00697DF2" w:rsidRDefault="003B1AA1" w:rsidP="00697DF2">
      <w:pPr>
        <w:numPr>
          <w:ilvl w:val="0"/>
          <w:numId w:val="9"/>
        </w:numPr>
        <w:jc w:val="both"/>
        <w:rPr>
          <w:rStyle w:val="FontStyle132"/>
          <w:bCs/>
          <w:kern w:val="144"/>
          <w:sz w:val="20"/>
          <w:szCs w:val="20"/>
        </w:rPr>
      </w:pPr>
      <w:r w:rsidRPr="00697DF2">
        <w:rPr>
          <w:kern w:val="144"/>
          <w:sz w:val="20"/>
          <w:szCs w:val="20"/>
        </w:rPr>
        <w:t>Każdy pojedynczy pojemnik musi być zamknięty w indywidualnym opakowaniu zabezpieczającym, zapewniającym zachowanie jałowości i apyrogenności pojemników, oraz odpowiednie warunki przechowywania.</w:t>
      </w:r>
      <w:r w:rsidRPr="00697DF2">
        <w:rPr>
          <w:rStyle w:val="FontStyle132"/>
          <w:sz w:val="20"/>
          <w:szCs w:val="20"/>
        </w:rPr>
        <w:t xml:space="preserve"> Pojedyncze zestawy muszą być zapakowane w odporne na uszkodzenia opakowania zbiorcze. Opakowanie zbiorcze może zawierać zestawy tylko jednej serii. Opakowanie zbiorcze musi być oznakowane jak etykieta robocza i zawierać informację o warunkach przechowywania                           - magazynowania pojemników.</w:t>
      </w:r>
    </w:p>
    <w:p w14:paraId="467DC30B" w14:textId="77777777" w:rsidR="003B1AA1" w:rsidRPr="00697DF2" w:rsidRDefault="003B1AA1" w:rsidP="00697DF2">
      <w:pPr>
        <w:numPr>
          <w:ilvl w:val="0"/>
          <w:numId w:val="9"/>
        </w:numPr>
        <w:autoSpaceDE w:val="0"/>
        <w:autoSpaceDN w:val="0"/>
        <w:adjustRightInd w:val="0"/>
        <w:jc w:val="both"/>
        <w:rPr>
          <w:rStyle w:val="FontStyle132"/>
          <w:bCs/>
          <w:sz w:val="20"/>
          <w:szCs w:val="20"/>
        </w:rPr>
      </w:pPr>
      <w:r w:rsidRPr="00697DF2">
        <w:rPr>
          <w:sz w:val="20"/>
          <w:szCs w:val="20"/>
        </w:rPr>
        <w:t>Wymagana możliwość przechowywania kartonów z pojemnikami do  temperatury ≥ +30ºC.</w:t>
      </w:r>
    </w:p>
    <w:p w14:paraId="61B058C8" w14:textId="77777777" w:rsidR="003B1AA1" w:rsidRPr="00697DF2" w:rsidRDefault="003B1AA1" w:rsidP="00697DF2">
      <w:pPr>
        <w:numPr>
          <w:ilvl w:val="0"/>
          <w:numId w:val="9"/>
        </w:numPr>
        <w:jc w:val="both"/>
        <w:rPr>
          <w:sz w:val="20"/>
          <w:szCs w:val="20"/>
        </w:rPr>
      </w:pPr>
      <w:r w:rsidRPr="00697DF2">
        <w:rPr>
          <w:sz w:val="20"/>
          <w:szCs w:val="20"/>
        </w:rPr>
        <w:t>Pojemniki muszą posiadać termin ważności co najmniej 12 miesięcy od momentu dostarczenia ich do siedziby Zamawiającego.</w:t>
      </w:r>
    </w:p>
    <w:p w14:paraId="3EE74DE6" w14:textId="77777777" w:rsidR="003B1AA1" w:rsidRPr="00697DF2" w:rsidRDefault="003B1AA1" w:rsidP="00697DF2">
      <w:pPr>
        <w:rPr>
          <w:rStyle w:val="FontStyle132"/>
          <w:bCs/>
          <w:kern w:val="144"/>
          <w:sz w:val="20"/>
          <w:szCs w:val="20"/>
        </w:rPr>
      </w:pPr>
    </w:p>
    <w:p w14:paraId="192A62A1" w14:textId="2238D3AC" w:rsidR="003B1AA1" w:rsidRPr="00697DF2" w:rsidRDefault="003B1AA1" w:rsidP="00697DF2">
      <w:pPr>
        <w:rPr>
          <w:b/>
          <w:i/>
          <w:iCs/>
          <w:sz w:val="20"/>
          <w:szCs w:val="20"/>
        </w:rPr>
      </w:pPr>
      <w:r w:rsidRPr="00697DF2">
        <w:rPr>
          <w:rStyle w:val="FontStyle132"/>
          <w:b/>
          <w:kern w:val="144"/>
          <w:sz w:val="20"/>
          <w:szCs w:val="20"/>
        </w:rPr>
        <w:t>Część 2 -</w:t>
      </w:r>
      <w:r w:rsidRPr="00697DF2">
        <w:rPr>
          <w:rStyle w:val="FontStyle132"/>
          <w:bCs/>
          <w:kern w:val="144"/>
          <w:sz w:val="20"/>
          <w:szCs w:val="20"/>
        </w:rPr>
        <w:t xml:space="preserve"> </w:t>
      </w:r>
      <w:r w:rsidRPr="00697DF2">
        <w:rPr>
          <w:b/>
          <w:sz w:val="20"/>
          <w:szCs w:val="20"/>
        </w:rPr>
        <w:t>dostawy 3 000 (trzech tysięcy) pojemników transferowych á 150ml</w:t>
      </w:r>
      <w:r w:rsidRPr="00697DF2">
        <w:rPr>
          <w:b/>
          <w:i/>
          <w:iCs/>
          <w:sz w:val="20"/>
          <w:szCs w:val="20"/>
        </w:rPr>
        <w:t xml:space="preserve"> </w:t>
      </w:r>
    </w:p>
    <w:p w14:paraId="48F1B2ED" w14:textId="4F21A37A" w:rsidR="003B1AA1" w:rsidRPr="00697DF2" w:rsidRDefault="003B1AA1" w:rsidP="00697DF2">
      <w:pPr>
        <w:tabs>
          <w:tab w:val="left" w:pos="7200"/>
        </w:tabs>
        <w:jc w:val="both"/>
        <w:rPr>
          <w:kern w:val="144"/>
          <w:sz w:val="20"/>
          <w:szCs w:val="20"/>
        </w:rPr>
      </w:pPr>
      <w:r w:rsidRPr="00697DF2">
        <w:rPr>
          <w:kern w:val="144"/>
          <w:sz w:val="20"/>
          <w:szCs w:val="20"/>
        </w:rPr>
        <w:t>Zastosowanie:</w:t>
      </w:r>
      <w:r w:rsidRPr="00697DF2">
        <w:rPr>
          <w:kern w:val="144"/>
          <w:sz w:val="20"/>
          <w:szCs w:val="20"/>
          <w14:shadow w14:blurRad="50800" w14:dist="38100" w14:dir="2700000" w14:sx="100000" w14:sy="100000" w14:kx="0" w14:ky="0" w14:algn="tl">
            <w14:srgbClr w14:val="000000">
              <w14:alpha w14:val="60000"/>
            </w14:srgbClr>
          </w14:shadow>
        </w:rPr>
        <w:t xml:space="preserve"> </w:t>
      </w:r>
      <w:r w:rsidRPr="00697DF2">
        <w:rPr>
          <w:kern w:val="144"/>
          <w:sz w:val="20"/>
          <w:szCs w:val="20"/>
        </w:rPr>
        <w:t>do preparatyki krwi i jej składników</w:t>
      </w:r>
    </w:p>
    <w:p w14:paraId="2EE7668A" w14:textId="58896346" w:rsidR="003B1AA1" w:rsidRPr="00697DF2" w:rsidRDefault="003B1AA1" w:rsidP="00697DF2">
      <w:pPr>
        <w:tabs>
          <w:tab w:val="left" w:pos="7200"/>
        </w:tabs>
        <w:jc w:val="both"/>
        <w:rPr>
          <w:b/>
          <w:bCs/>
          <w:sz w:val="20"/>
          <w:szCs w:val="20"/>
        </w:rPr>
      </w:pPr>
      <w:r w:rsidRPr="00697DF2">
        <w:rPr>
          <w:b/>
          <w:bCs/>
          <w:sz w:val="20"/>
          <w:szCs w:val="20"/>
        </w:rPr>
        <w:t>Wymagane do spełnienia parametry graniczne dotyczące pojemników:</w:t>
      </w:r>
    </w:p>
    <w:p w14:paraId="7E55931F" w14:textId="77777777" w:rsidR="003B1AA1" w:rsidRPr="00697DF2" w:rsidRDefault="003B1AA1" w:rsidP="00697DF2">
      <w:pPr>
        <w:numPr>
          <w:ilvl w:val="0"/>
          <w:numId w:val="10"/>
        </w:numPr>
        <w:jc w:val="both"/>
        <w:rPr>
          <w:color w:val="000000"/>
          <w:sz w:val="20"/>
          <w:szCs w:val="20"/>
        </w:rPr>
      </w:pPr>
      <w:r w:rsidRPr="00697DF2">
        <w:rPr>
          <w:color w:val="000000"/>
          <w:sz w:val="20"/>
          <w:szCs w:val="20"/>
        </w:rPr>
        <w:t>Budowa: pojemniki puste o pojemności 150 ml ±10%.</w:t>
      </w:r>
    </w:p>
    <w:p w14:paraId="33FA080B" w14:textId="77777777" w:rsidR="003B1AA1" w:rsidRPr="00697DF2" w:rsidRDefault="003B1AA1" w:rsidP="00697DF2">
      <w:pPr>
        <w:numPr>
          <w:ilvl w:val="0"/>
          <w:numId w:val="10"/>
        </w:numPr>
        <w:jc w:val="both"/>
        <w:rPr>
          <w:sz w:val="20"/>
          <w:szCs w:val="20"/>
        </w:rPr>
      </w:pPr>
      <w:r w:rsidRPr="00697DF2">
        <w:rPr>
          <w:sz w:val="20"/>
          <w:szCs w:val="20"/>
        </w:rPr>
        <w:t>Pojemniki muszą być sterylne, nietoksyczne, apyrogenne, jednorazowego użytku.</w:t>
      </w:r>
    </w:p>
    <w:p w14:paraId="1A136A89" w14:textId="77777777" w:rsidR="003B1AA1" w:rsidRPr="00697DF2" w:rsidRDefault="003B1AA1" w:rsidP="00697DF2">
      <w:pPr>
        <w:numPr>
          <w:ilvl w:val="0"/>
          <w:numId w:val="10"/>
        </w:numPr>
        <w:jc w:val="both"/>
        <w:rPr>
          <w:color w:val="000000"/>
          <w:sz w:val="20"/>
          <w:szCs w:val="20"/>
        </w:rPr>
      </w:pPr>
      <w:r w:rsidRPr="00697DF2">
        <w:rPr>
          <w:color w:val="000000"/>
          <w:sz w:val="20"/>
          <w:szCs w:val="20"/>
        </w:rPr>
        <w:t>Wymagalny dren pojemnika długości min. 40 cm, zakończony igłą plastikową typu „SPIKE”.</w:t>
      </w:r>
    </w:p>
    <w:p w14:paraId="75EAC9C1" w14:textId="77777777" w:rsidR="003B1AA1" w:rsidRPr="00697DF2" w:rsidRDefault="003B1AA1" w:rsidP="00697DF2">
      <w:pPr>
        <w:numPr>
          <w:ilvl w:val="0"/>
          <w:numId w:val="10"/>
        </w:numPr>
        <w:jc w:val="both"/>
        <w:rPr>
          <w:color w:val="000000"/>
          <w:sz w:val="20"/>
          <w:szCs w:val="20"/>
        </w:rPr>
      </w:pPr>
      <w:r w:rsidRPr="00697DF2">
        <w:rPr>
          <w:color w:val="000000"/>
          <w:sz w:val="20"/>
          <w:szCs w:val="20"/>
        </w:rPr>
        <w:t>Wszystkie dreny muszą być elastyczne, umożliwiać łatwe rolowanie i skuteczne zadziałanie posiadanych zgrzewarek.</w:t>
      </w:r>
    </w:p>
    <w:p w14:paraId="4B4AF5F6" w14:textId="5E2A4481" w:rsidR="003B1AA1" w:rsidRPr="00697DF2" w:rsidRDefault="003B1AA1" w:rsidP="00697DF2">
      <w:pPr>
        <w:numPr>
          <w:ilvl w:val="0"/>
          <w:numId w:val="10"/>
        </w:numPr>
        <w:jc w:val="both"/>
        <w:rPr>
          <w:color w:val="000000"/>
          <w:sz w:val="20"/>
          <w:szCs w:val="20"/>
        </w:rPr>
      </w:pPr>
      <w:r w:rsidRPr="00697DF2">
        <w:rPr>
          <w:color w:val="000000"/>
          <w:sz w:val="20"/>
          <w:szCs w:val="20"/>
        </w:rPr>
        <w:t xml:space="preserve">Średnica drenów powinna mieć wymiary zapewniające wzajemną kompatybilność drenów różnych pojemników, </w:t>
      </w:r>
      <w:r w:rsidRPr="00697DF2">
        <w:rPr>
          <w:color w:val="000000"/>
          <w:sz w:val="20"/>
          <w:szCs w:val="20"/>
        </w:rPr>
        <w:br/>
        <w:t>aby umożliwić ich połączenia w układzie otwartym i zamkniętym.</w:t>
      </w:r>
    </w:p>
    <w:p w14:paraId="15CABA28" w14:textId="1692E733" w:rsidR="003B1AA1" w:rsidRPr="00697DF2" w:rsidRDefault="003B1AA1" w:rsidP="00697DF2">
      <w:pPr>
        <w:numPr>
          <w:ilvl w:val="0"/>
          <w:numId w:val="10"/>
        </w:numPr>
        <w:jc w:val="both"/>
        <w:rPr>
          <w:color w:val="000000"/>
          <w:sz w:val="20"/>
          <w:szCs w:val="20"/>
        </w:rPr>
      </w:pPr>
      <w:r w:rsidRPr="00697DF2">
        <w:rPr>
          <w:iCs/>
          <w:sz w:val="20"/>
          <w:szCs w:val="20"/>
        </w:rPr>
        <w:t xml:space="preserve">Pojemnik powinien być wykonany z tworzywa umożliwiającego przechowywanie składników czerwonokrwinkowych </w:t>
      </w:r>
      <w:r w:rsidRPr="00697DF2">
        <w:rPr>
          <w:iCs/>
          <w:sz w:val="20"/>
          <w:szCs w:val="20"/>
        </w:rPr>
        <w:br/>
        <w:t>w temperaturze od +2°C do +6</w:t>
      </w:r>
      <w:r w:rsidRPr="00697DF2">
        <w:rPr>
          <w:iCs/>
          <w:sz w:val="20"/>
          <w:szCs w:val="20"/>
          <w:vertAlign w:val="superscript"/>
        </w:rPr>
        <w:t>o</w:t>
      </w:r>
      <w:r w:rsidRPr="00697DF2">
        <w:rPr>
          <w:iCs/>
          <w:sz w:val="20"/>
          <w:szCs w:val="20"/>
        </w:rPr>
        <w:t>C.</w:t>
      </w:r>
    </w:p>
    <w:p w14:paraId="1D545791" w14:textId="79D39606" w:rsidR="003B1AA1" w:rsidRPr="00697DF2" w:rsidRDefault="003B1AA1" w:rsidP="00697DF2">
      <w:pPr>
        <w:numPr>
          <w:ilvl w:val="0"/>
          <w:numId w:val="10"/>
        </w:numPr>
        <w:jc w:val="both"/>
        <w:rPr>
          <w:color w:val="000000"/>
          <w:sz w:val="20"/>
          <w:szCs w:val="20"/>
        </w:rPr>
      </w:pPr>
      <w:r w:rsidRPr="00697DF2">
        <w:rPr>
          <w:color w:val="000000"/>
          <w:sz w:val="20"/>
          <w:szCs w:val="20"/>
        </w:rPr>
        <w:t>Tworzywo, z którego wykonane są pojemniki musi być przejrzyste, umożliwiające wizualną ocenę pojemnika i składnika znajdującego się w pojemniku oraz powinno zapewniać możliwość zamrażania szokowego w temperaturze -60</w:t>
      </w:r>
      <w:r w:rsidRPr="00697DF2">
        <w:rPr>
          <w:color w:val="000000"/>
          <w:sz w:val="20"/>
          <w:szCs w:val="20"/>
          <w:vertAlign w:val="superscript"/>
        </w:rPr>
        <w:t>0</w:t>
      </w:r>
      <w:r w:rsidRPr="00697DF2">
        <w:rPr>
          <w:color w:val="000000"/>
          <w:sz w:val="20"/>
          <w:szCs w:val="20"/>
        </w:rPr>
        <w:t xml:space="preserve">C </w:t>
      </w:r>
      <w:r w:rsidRPr="00697DF2">
        <w:rPr>
          <w:color w:val="000000"/>
          <w:sz w:val="20"/>
          <w:szCs w:val="20"/>
        </w:rPr>
        <w:br/>
        <w:t>i bezpiecznego przechowywania w temperaturze od -25</w:t>
      </w:r>
      <w:r w:rsidRPr="00697DF2">
        <w:rPr>
          <w:color w:val="000000"/>
          <w:sz w:val="20"/>
          <w:szCs w:val="20"/>
          <w:vertAlign w:val="superscript"/>
        </w:rPr>
        <w:t>0</w:t>
      </w:r>
      <w:r w:rsidRPr="00697DF2">
        <w:rPr>
          <w:color w:val="000000"/>
          <w:sz w:val="20"/>
          <w:szCs w:val="20"/>
        </w:rPr>
        <w:t>C  do -90</w:t>
      </w:r>
      <w:r w:rsidRPr="00697DF2">
        <w:rPr>
          <w:color w:val="000000"/>
          <w:sz w:val="20"/>
          <w:szCs w:val="20"/>
          <w:vertAlign w:val="superscript"/>
        </w:rPr>
        <w:t>0</w:t>
      </w:r>
      <w:r w:rsidRPr="00697DF2">
        <w:rPr>
          <w:color w:val="000000"/>
          <w:sz w:val="20"/>
          <w:szCs w:val="20"/>
        </w:rPr>
        <w:t>C z zachowaniem elastyczności i jałowości pojemnika.</w:t>
      </w:r>
    </w:p>
    <w:p w14:paraId="47B010A5" w14:textId="77777777" w:rsidR="003B1AA1" w:rsidRPr="00697DF2" w:rsidRDefault="003B1AA1" w:rsidP="00697DF2">
      <w:pPr>
        <w:numPr>
          <w:ilvl w:val="0"/>
          <w:numId w:val="10"/>
        </w:numPr>
        <w:autoSpaceDE w:val="0"/>
        <w:autoSpaceDN w:val="0"/>
        <w:adjustRightInd w:val="0"/>
        <w:jc w:val="both"/>
        <w:rPr>
          <w:bCs/>
          <w:sz w:val="20"/>
          <w:szCs w:val="20"/>
        </w:rPr>
      </w:pPr>
      <w:r w:rsidRPr="00697DF2">
        <w:rPr>
          <w:sz w:val="20"/>
          <w:szCs w:val="20"/>
        </w:rPr>
        <w:t>Tworzywo pojemników musi być zgodne z zapisami w Farmakopei Europejskiej.</w:t>
      </w:r>
    </w:p>
    <w:p w14:paraId="4067E490" w14:textId="45CFA23B" w:rsidR="003B1AA1" w:rsidRPr="00697DF2" w:rsidRDefault="003B1AA1" w:rsidP="00697DF2">
      <w:pPr>
        <w:numPr>
          <w:ilvl w:val="0"/>
          <w:numId w:val="10"/>
        </w:numPr>
        <w:jc w:val="both"/>
        <w:rPr>
          <w:color w:val="000000"/>
          <w:sz w:val="20"/>
          <w:szCs w:val="20"/>
        </w:rPr>
      </w:pPr>
      <w:r w:rsidRPr="00697DF2">
        <w:rPr>
          <w:color w:val="000000"/>
          <w:sz w:val="20"/>
          <w:szCs w:val="20"/>
        </w:rPr>
        <w:t xml:space="preserve">Na wszystkich pojemnikach muszą być trwale umocowane etykiety, które nie mogą ulegać uszkodzeniom ani odklejeniu </w:t>
      </w:r>
      <w:r w:rsidRPr="00697DF2">
        <w:rPr>
          <w:color w:val="000000"/>
          <w:sz w:val="20"/>
          <w:szCs w:val="20"/>
        </w:rPr>
        <w:br/>
        <w:t xml:space="preserve">w czasie preparatyki i przechowywania oraz których nie może zerwać użytkownik. </w:t>
      </w:r>
      <w:r w:rsidRPr="00697DF2">
        <w:rPr>
          <w:sz w:val="20"/>
          <w:szCs w:val="20"/>
        </w:rPr>
        <w:t>Etykiety pojemników muszą być w języku polskim, zawierać informację o przeznaczeniu pojemnika i pojemności, numer serii w postaci literowo-cyfrowej i kodu kreskowego oraz datę ważności i znak CE. Zamawiający dopuszcza etykiety z piktogramami zgodnymi z normą i standardami ISO 3826-2 pod warunkiem dołączenia instrukcji w języku polskim, gdzie wyjaśnione jest znaczenie piktogramów.</w:t>
      </w:r>
    </w:p>
    <w:p w14:paraId="6CB835A3" w14:textId="77777777" w:rsidR="003B1AA1" w:rsidRPr="00697DF2" w:rsidRDefault="003B1AA1" w:rsidP="00697DF2">
      <w:pPr>
        <w:numPr>
          <w:ilvl w:val="0"/>
          <w:numId w:val="10"/>
        </w:numPr>
        <w:jc w:val="both"/>
        <w:rPr>
          <w:color w:val="000000"/>
          <w:sz w:val="20"/>
          <w:szCs w:val="20"/>
        </w:rPr>
      </w:pPr>
      <w:r w:rsidRPr="00697DF2">
        <w:rPr>
          <w:sz w:val="20"/>
          <w:szCs w:val="20"/>
        </w:rPr>
        <w:t>Pojemniki powinny mieć wymiary</w:t>
      </w:r>
      <w:r w:rsidRPr="00697DF2">
        <w:rPr>
          <w:color w:val="000000"/>
          <w:sz w:val="20"/>
          <w:szCs w:val="20"/>
        </w:rPr>
        <w:t xml:space="preserve"> umożliwiające przyklejenie na nich etykiety głównej o wymiarach 10,16 cm x 10,16 cm - zgodnej z wymaganiami ISBT 128 (międzynarodowy standard oznakowania krwi i jej składników).</w:t>
      </w:r>
    </w:p>
    <w:p w14:paraId="71EE996F" w14:textId="77777777" w:rsidR="003B1AA1" w:rsidRPr="00697DF2" w:rsidRDefault="003B1AA1" w:rsidP="00697DF2">
      <w:pPr>
        <w:numPr>
          <w:ilvl w:val="0"/>
          <w:numId w:val="10"/>
        </w:numPr>
        <w:jc w:val="both"/>
        <w:rPr>
          <w:color w:val="000000"/>
          <w:sz w:val="20"/>
          <w:szCs w:val="20"/>
        </w:rPr>
      </w:pPr>
      <w:r w:rsidRPr="00697DF2">
        <w:rPr>
          <w:color w:val="000000"/>
          <w:sz w:val="20"/>
          <w:szCs w:val="20"/>
        </w:rPr>
        <w:t>Pojemniki powinny zawierać co najmniej 2 porty zabezpieczone błoną od wewnątrz oraz odpowiednią ochroną z zewnątrz zapewniającą jałowość, umożliwiające łatwy dostęp do podłączenia zestawu do przetoczenia.</w:t>
      </w:r>
    </w:p>
    <w:p w14:paraId="698134D4" w14:textId="77777777" w:rsidR="003B1AA1" w:rsidRPr="00697DF2" w:rsidRDefault="003B1AA1" w:rsidP="00697DF2">
      <w:pPr>
        <w:numPr>
          <w:ilvl w:val="0"/>
          <w:numId w:val="10"/>
        </w:numPr>
        <w:jc w:val="both"/>
        <w:rPr>
          <w:color w:val="000000"/>
          <w:sz w:val="20"/>
          <w:szCs w:val="20"/>
        </w:rPr>
      </w:pPr>
      <w:r w:rsidRPr="00697DF2">
        <w:rPr>
          <w:color w:val="000000"/>
          <w:sz w:val="20"/>
          <w:szCs w:val="20"/>
        </w:rPr>
        <w:t>Centralnie na dolnej krawędzi pojemnika, powinno znajdować się podłużne nacięcie materiału pojemnika, umożliwiające zawieszanie pojemników na haczykach statywów transfuzyjnych.</w:t>
      </w:r>
    </w:p>
    <w:p w14:paraId="1CD48C73" w14:textId="77777777" w:rsidR="003B1AA1" w:rsidRPr="00697DF2" w:rsidRDefault="003B1AA1" w:rsidP="00697DF2">
      <w:pPr>
        <w:numPr>
          <w:ilvl w:val="0"/>
          <w:numId w:val="10"/>
        </w:numPr>
        <w:jc w:val="both"/>
        <w:rPr>
          <w:rStyle w:val="FontStyle132"/>
          <w:color w:val="000000"/>
          <w:sz w:val="20"/>
          <w:szCs w:val="20"/>
        </w:rPr>
      </w:pPr>
      <w:r w:rsidRPr="00697DF2">
        <w:rPr>
          <w:color w:val="000000"/>
          <w:sz w:val="20"/>
          <w:szCs w:val="20"/>
        </w:rPr>
        <w:lastRenderedPageBreak/>
        <w:t xml:space="preserve">Każdy pojedynczy pojemnik musi być zamknięty w indywidualnym opakowaniu zabezpieczającym, zapewniającym zachowanie jałowości i apyrogenności pojemników, oraz odpowiednie warunki przechowywania. Pojedyncze zestawy muszą być zapakowane w odporne na uszkodzenia opakowania zbiorcze. </w:t>
      </w:r>
      <w:r w:rsidRPr="00697DF2">
        <w:rPr>
          <w:sz w:val="20"/>
          <w:szCs w:val="20"/>
        </w:rPr>
        <w:t xml:space="preserve">Opakowanie zbiorcze może zawierać zestawy tylko jednej serii. </w:t>
      </w:r>
      <w:r w:rsidRPr="00697DF2">
        <w:rPr>
          <w:rStyle w:val="FontStyle132"/>
          <w:sz w:val="20"/>
          <w:szCs w:val="20"/>
        </w:rPr>
        <w:t>Opakowanie zbiorcze musi być oznakowane jak etykieta robocza i zawierać informację o warunkach przechowywania                             - magazynowania pojemników.</w:t>
      </w:r>
    </w:p>
    <w:p w14:paraId="211CCCAE" w14:textId="77777777" w:rsidR="003B1AA1" w:rsidRPr="00697DF2" w:rsidRDefault="003B1AA1" w:rsidP="00697DF2">
      <w:pPr>
        <w:numPr>
          <w:ilvl w:val="0"/>
          <w:numId w:val="10"/>
        </w:numPr>
        <w:autoSpaceDE w:val="0"/>
        <w:autoSpaceDN w:val="0"/>
        <w:adjustRightInd w:val="0"/>
        <w:jc w:val="both"/>
        <w:rPr>
          <w:rStyle w:val="FontStyle132"/>
          <w:bCs/>
          <w:sz w:val="20"/>
          <w:szCs w:val="20"/>
        </w:rPr>
      </w:pPr>
      <w:r w:rsidRPr="00697DF2">
        <w:rPr>
          <w:sz w:val="20"/>
          <w:szCs w:val="20"/>
        </w:rPr>
        <w:t>Wymagana możliwość przechowywania kartonów z pojemnikami do  temperatury ≥ +30ºC.</w:t>
      </w:r>
    </w:p>
    <w:p w14:paraId="68E4EBD3" w14:textId="77777777" w:rsidR="003B1AA1" w:rsidRPr="00697DF2" w:rsidRDefault="003B1AA1" w:rsidP="00697DF2">
      <w:pPr>
        <w:numPr>
          <w:ilvl w:val="0"/>
          <w:numId w:val="10"/>
        </w:numPr>
        <w:jc w:val="both"/>
        <w:rPr>
          <w:sz w:val="20"/>
          <w:szCs w:val="20"/>
        </w:rPr>
      </w:pPr>
      <w:r w:rsidRPr="00697DF2">
        <w:rPr>
          <w:sz w:val="20"/>
          <w:szCs w:val="20"/>
        </w:rPr>
        <w:t>Pojemniki muszą posiadać termin ważności co najmniej 12 miesięcy od momentu dostarczenia ich do siedziby Zamawiającego.</w:t>
      </w:r>
    </w:p>
    <w:p w14:paraId="3137FBD5" w14:textId="77777777" w:rsidR="003B1AA1" w:rsidRPr="00697DF2" w:rsidRDefault="003B1AA1" w:rsidP="00697DF2">
      <w:pPr>
        <w:jc w:val="both"/>
        <w:rPr>
          <w:rStyle w:val="FontStyle132"/>
          <w:color w:val="000000"/>
          <w:sz w:val="20"/>
          <w:szCs w:val="20"/>
        </w:rPr>
      </w:pPr>
    </w:p>
    <w:p w14:paraId="483B1428" w14:textId="01254B61" w:rsidR="003B1AA1" w:rsidRPr="00697DF2" w:rsidRDefault="003B1AA1" w:rsidP="00697DF2">
      <w:pPr>
        <w:jc w:val="both"/>
        <w:rPr>
          <w:b/>
          <w:bCs/>
          <w:color w:val="000000"/>
          <w:sz w:val="20"/>
          <w:szCs w:val="20"/>
        </w:rPr>
      </w:pPr>
      <w:r w:rsidRPr="00697DF2">
        <w:rPr>
          <w:rStyle w:val="FontStyle132"/>
          <w:b/>
          <w:bCs/>
          <w:color w:val="000000"/>
          <w:sz w:val="20"/>
          <w:szCs w:val="20"/>
        </w:rPr>
        <w:t xml:space="preserve">Część 3 - </w:t>
      </w:r>
      <w:r w:rsidRPr="00697DF2">
        <w:rPr>
          <w:b/>
          <w:sz w:val="20"/>
          <w:szCs w:val="20"/>
        </w:rPr>
        <w:t xml:space="preserve">dostawy 4 000 (czterech tysięcy) pojemników transferowych á 600 ml </w:t>
      </w:r>
    </w:p>
    <w:p w14:paraId="7B1F11B8" w14:textId="0EC98AC7" w:rsidR="003B1AA1" w:rsidRPr="00697DF2" w:rsidRDefault="003B1AA1" w:rsidP="00697DF2">
      <w:pPr>
        <w:tabs>
          <w:tab w:val="left" w:pos="7200"/>
        </w:tabs>
        <w:jc w:val="both"/>
        <w:rPr>
          <w:kern w:val="144"/>
          <w:sz w:val="20"/>
          <w:szCs w:val="20"/>
        </w:rPr>
      </w:pPr>
      <w:r w:rsidRPr="00697DF2">
        <w:rPr>
          <w:kern w:val="144"/>
          <w:sz w:val="20"/>
          <w:szCs w:val="20"/>
        </w:rPr>
        <w:t>Zastosowanie:</w:t>
      </w:r>
      <w:r w:rsidRPr="00697DF2">
        <w:rPr>
          <w:kern w:val="144"/>
          <w:sz w:val="20"/>
          <w:szCs w:val="20"/>
          <w14:shadow w14:blurRad="50800" w14:dist="38100" w14:dir="2700000" w14:sx="100000" w14:sy="100000" w14:kx="0" w14:ky="0" w14:algn="tl">
            <w14:srgbClr w14:val="000000">
              <w14:alpha w14:val="60000"/>
            </w14:srgbClr>
          </w14:shadow>
        </w:rPr>
        <w:t xml:space="preserve"> </w:t>
      </w:r>
      <w:r w:rsidRPr="00697DF2">
        <w:rPr>
          <w:kern w:val="144"/>
          <w:sz w:val="20"/>
          <w:szCs w:val="20"/>
        </w:rPr>
        <w:t>do preparatyki krwi i jej składników</w:t>
      </w:r>
    </w:p>
    <w:p w14:paraId="45E8FCA1" w14:textId="64DDB328" w:rsidR="003B1AA1" w:rsidRPr="00697DF2" w:rsidRDefault="003B1AA1" w:rsidP="00697DF2">
      <w:pPr>
        <w:tabs>
          <w:tab w:val="left" w:pos="7200"/>
        </w:tabs>
        <w:jc w:val="both"/>
        <w:rPr>
          <w:b/>
          <w:bCs/>
          <w:sz w:val="20"/>
          <w:szCs w:val="20"/>
        </w:rPr>
      </w:pPr>
      <w:r w:rsidRPr="00697DF2">
        <w:rPr>
          <w:b/>
          <w:bCs/>
          <w:sz w:val="20"/>
          <w:szCs w:val="20"/>
        </w:rPr>
        <w:t>Wymagane do spełnienia parametry graniczne dotyczące pojemników:</w:t>
      </w:r>
    </w:p>
    <w:p w14:paraId="3E81AD89" w14:textId="77777777" w:rsidR="003B1AA1" w:rsidRPr="00697DF2" w:rsidRDefault="003B1AA1" w:rsidP="00697DF2">
      <w:pPr>
        <w:numPr>
          <w:ilvl w:val="0"/>
          <w:numId w:val="11"/>
        </w:numPr>
        <w:jc w:val="both"/>
        <w:rPr>
          <w:color w:val="000000"/>
          <w:sz w:val="20"/>
          <w:szCs w:val="20"/>
        </w:rPr>
      </w:pPr>
      <w:r w:rsidRPr="00697DF2">
        <w:rPr>
          <w:color w:val="000000"/>
          <w:sz w:val="20"/>
          <w:szCs w:val="20"/>
        </w:rPr>
        <w:t>Budowa: pojemniki puste o pojemności 600 ml ±10%.</w:t>
      </w:r>
    </w:p>
    <w:p w14:paraId="78F8EE39" w14:textId="77777777" w:rsidR="003B1AA1" w:rsidRPr="00697DF2" w:rsidRDefault="003B1AA1" w:rsidP="00697DF2">
      <w:pPr>
        <w:numPr>
          <w:ilvl w:val="0"/>
          <w:numId w:val="11"/>
        </w:numPr>
        <w:jc w:val="both"/>
        <w:rPr>
          <w:color w:val="000000"/>
          <w:sz w:val="20"/>
          <w:szCs w:val="20"/>
        </w:rPr>
      </w:pPr>
      <w:r w:rsidRPr="00697DF2">
        <w:rPr>
          <w:sz w:val="20"/>
          <w:szCs w:val="20"/>
        </w:rPr>
        <w:t>Pojemniki muszą być sterylne, nietoksyczne, apyrogenne, jednorazowego użytku.</w:t>
      </w:r>
    </w:p>
    <w:p w14:paraId="57588520" w14:textId="77777777" w:rsidR="003B1AA1" w:rsidRPr="00697DF2" w:rsidRDefault="003B1AA1" w:rsidP="00697DF2">
      <w:pPr>
        <w:numPr>
          <w:ilvl w:val="0"/>
          <w:numId w:val="11"/>
        </w:numPr>
        <w:jc w:val="both"/>
        <w:rPr>
          <w:color w:val="000000"/>
          <w:sz w:val="20"/>
          <w:szCs w:val="20"/>
        </w:rPr>
      </w:pPr>
      <w:r w:rsidRPr="00697DF2">
        <w:rPr>
          <w:color w:val="000000"/>
          <w:sz w:val="20"/>
          <w:szCs w:val="20"/>
        </w:rPr>
        <w:t>Wymagalny dren pojemnika długości min. 40 cm, zakończony igłą plastikową typu „SPIKE”.</w:t>
      </w:r>
    </w:p>
    <w:p w14:paraId="378B1C11" w14:textId="77777777" w:rsidR="003B1AA1" w:rsidRPr="00697DF2" w:rsidRDefault="003B1AA1" w:rsidP="00697DF2">
      <w:pPr>
        <w:numPr>
          <w:ilvl w:val="0"/>
          <w:numId w:val="11"/>
        </w:numPr>
        <w:jc w:val="both"/>
        <w:rPr>
          <w:color w:val="000000"/>
          <w:sz w:val="20"/>
          <w:szCs w:val="20"/>
        </w:rPr>
      </w:pPr>
      <w:r w:rsidRPr="00697DF2">
        <w:rPr>
          <w:color w:val="000000"/>
          <w:sz w:val="20"/>
          <w:szCs w:val="20"/>
        </w:rPr>
        <w:t>Wszystkie dreny muszą być elastyczne, umożliwiać łatwe rolowanie i skuteczne zadziałanie posiadanych zgrzewarek.</w:t>
      </w:r>
    </w:p>
    <w:p w14:paraId="65D7847F" w14:textId="753A2B43" w:rsidR="003B1AA1" w:rsidRPr="00697DF2" w:rsidRDefault="003B1AA1" w:rsidP="00697DF2">
      <w:pPr>
        <w:numPr>
          <w:ilvl w:val="0"/>
          <w:numId w:val="11"/>
        </w:numPr>
        <w:jc w:val="both"/>
        <w:rPr>
          <w:color w:val="000000"/>
          <w:sz w:val="20"/>
          <w:szCs w:val="20"/>
        </w:rPr>
      </w:pPr>
      <w:r w:rsidRPr="00697DF2">
        <w:rPr>
          <w:color w:val="000000"/>
          <w:sz w:val="20"/>
          <w:szCs w:val="20"/>
        </w:rPr>
        <w:t xml:space="preserve">Średnica drenów powinna mieć wymiary zapewniające wzajemną kompatybilność drenów różnych pojemników, </w:t>
      </w:r>
      <w:r w:rsidR="00697DF2">
        <w:rPr>
          <w:color w:val="000000"/>
          <w:sz w:val="20"/>
          <w:szCs w:val="20"/>
        </w:rPr>
        <w:br/>
      </w:r>
      <w:r w:rsidRPr="00697DF2">
        <w:rPr>
          <w:color w:val="000000"/>
          <w:sz w:val="20"/>
          <w:szCs w:val="20"/>
        </w:rPr>
        <w:t>aby umożliwić ich połączenia w układzie otwartym i zamkniętym.</w:t>
      </w:r>
    </w:p>
    <w:p w14:paraId="2F819CE0" w14:textId="539A8DF8" w:rsidR="003B1AA1" w:rsidRPr="00697DF2" w:rsidRDefault="003B1AA1" w:rsidP="00697DF2">
      <w:pPr>
        <w:numPr>
          <w:ilvl w:val="0"/>
          <w:numId w:val="11"/>
        </w:numPr>
        <w:jc w:val="both"/>
        <w:rPr>
          <w:color w:val="000000"/>
          <w:sz w:val="20"/>
          <w:szCs w:val="20"/>
        </w:rPr>
      </w:pPr>
      <w:r w:rsidRPr="00697DF2">
        <w:rPr>
          <w:iCs/>
          <w:sz w:val="20"/>
          <w:szCs w:val="20"/>
        </w:rPr>
        <w:t xml:space="preserve">Pojemnik powinien być wykonany z tworzywa umożliwiającego przechowywanie składników czerwonokrwinkowych </w:t>
      </w:r>
      <w:r w:rsidR="00697DF2">
        <w:rPr>
          <w:iCs/>
          <w:sz w:val="20"/>
          <w:szCs w:val="20"/>
        </w:rPr>
        <w:br/>
      </w:r>
      <w:r w:rsidRPr="00697DF2">
        <w:rPr>
          <w:iCs/>
          <w:sz w:val="20"/>
          <w:szCs w:val="20"/>
        </w:rPr>
        <w:t>w temperaturze od +2°C do +6</w:t>
      </w:r>
      <w:r w:rsidRPr="00697DF2">
        <w:rPr>
          <w:iCs/>
          <w:sz w:val="20"/>
          <w:szCs w:val="20"/>
          <w:vertAlign w:val="superscript"/>
        </w:rPr>
        <w:t>o</w:t>
      </w:r>
      <w:r w:rsidRPr="00697DF2">
        <w:rPr>
          <w:iCs/>
          <w:sz w:val="20"/>
          <w:szCs w:val="20"/>
        </w:rPr>
        <w:t>C.</w:t>
      </w:r>
    </w:p>
    <w:p w14:paraId="2797B00F" w14:textId="77777777" w:rsidR="003B1AA1" w:rsidRPr="00697DF2" w:rsidRDefault="003B1AA1" w:rsidP="00697DF2">
      <w:pPr>
        <w:numPr>
          <w:ilvl w:val="0"/>
          <w:numId w:val="11"/>
        </w:numPr>
        <w:jc w:val="both"/>
        <w:rPr>
          <w:color w:val="000000"/>
          <w:sz w:val="20"/>
          <w:szCs w:val="20"/>
        </w:rPr>
      </w:pPr>
      <w:r w:rsidRPr="00697DF2">
        <w:rPr>
          <w:color w:val="000000"/>
          <w:sz w:val="20"/>
          <w:szCs w:val="20"/>
        </w:rPr>
        <w:t>Możliwość wirowania pojemników z siłą 5000 g przez 6 minut w temperaturze +4</w:t>
      </w:r>
      <w:r w:rsidRPr="00697DF2">
        <w:rPr>
          <w:color w:val="000000"/>
          <w:sz w:val="20"/>
          <w:szCs w:val="20"/>
          <w:vertAlign w:val="superscript"/>
        </w:rPr>
        <w:t>o</w:t>
      </w:r>
      <w:r w:rsidRPr="00697DF2">
        <w:rPr>
          <w:color w:val="000000"/>
          <w:sz w:val="20"/>
          <w:szCs w:val="20"/>
        </w:rPr>
        <w:t>C lub +22</w:t>
      </w:r>
      <w:r w:rsidRPr="00697DF2">
        <w:rPr>
          <w:color w:val="000000"/>
          <w:sz w:val="20"/>
          <w:szCs w:val="20"/>
          <w:vertAlign w:val="superscript"/>
        </w:rPr>
        <w:t>o</w:t>
      </w:r>
      <w:r w:rsidRPr="00697DF2">
        <w:rPr>
          <w:color w:val="000000"/>
          <w:sz w:val="20"/>
          <w:szCs w:val="20"/>
        </w:rPr>
        <w:t>C przy objętości zawartego składnika 500 ml ± 10%.</w:t>
      </w:r>
    </w:p>
    <w:p w14:paraId="24DF8D4E" w14:textId="0D6CB54A" w:rsidR="00697DF2" w:rsidRPr="00697DF2" w:rsidRDefault="003B1AA1" w:rsidP="00697DF2">
      <w:pPr>
        <w:numPr>
          <w:ilvl w:val="0"/>
          <w:numId w:val="11"/>
        </w:numPr>
        <w:jc w:val="both"/>
        <w:rPr>
          <w:color w:val="000000"/>
          <w:sz w:val="20"/>
          <w:szCs w:val="20"/>
        </w:rPr>
      </w:pPr>
      <w:r w:rsidRPr="00697DF2">
        <w:rPr>
          <w:color w:val="000000"/>
          <w:sz w:val="20"/>
          <w:szCs w:val="20"/>
        </w:rPr>
        <w:t>Tworzywo, z którego wykonane są pojemniki musi być przejrzyste, umożliwiające wizualną ocenę pojemnika i składnika znajdującego się w pojemniku oraz powinno zapewniać możliwość zamrażania szokowego w temperaturze -60</w:t>
      </w:r>
      <w:r w:rsidRPr="00697DF2">
        <w:rPr>
          <w:color w:val="000000"/>
          <w:sz w:val="20"/>
          <w:szCs w:val="20"/>
          <w:vertAlign w:val="superscript"/>
        </w:rPr>
        <w:t>0</w:t>
      </w:r>
      <w:r w:rsidRPr="00697DF2">
        <w:rPr>
          <w:color w:val="000000"/>
          <w:sz w:val="20"/>
          <w:szCs w:val="20"/>
        </w:rPr>
        <w:t xml:space="preserve">C </w:t>
      </w:r>
      <w:r w:rsidR="00697DF2">
        <w:rPr>
          <w:color w:val="000000"/>
          <w:sz w:val="20"/>
          <w:szCs w:val="20"/>
        </w:rPr>
        <w:br/>
      </w:r>
      <w:r w:rsidRPr="00697DF2">
        <w:rPr>
          <w:color w:val="000000"/>
          <w:sz w:val="20"/>
          <w:szCs w:val="20"/>
        </w:rPr>
        <w:t>i bezpiecznego przechowywania w temperaturze od -25</w:t>
      </w:r>
      <w:r w:rsidRPr="00697DF2">
        <w:rPr>
          <w:color w:val="000000"/>
          <w:sz w:val="20"/>
          <w:szCs w:val="20"/>
          <w:vertAlign w:val="superscript"/>
        </w:rPr>
        <w:t>0</w:t>
      </w:r>
      <w:r w:rsidRPr="00697DF2">
        <w:rPr>
          <w:color w:val="000000"/>
          <w:sz w:val="20"/>
          <w:szCs w:val="20"/>
        </w:rPr>
        <w:t>C do -90</w:t>
      </w:r>
      <w:r w:rsidRPr="00697DF2">
        <w:rPr>
          <w:color w:val="000000"/>
          <w:sz w:val="20"/>
          <w:szCs w:val="20"/>
          <w:vertAlign w:val="superscript"/>
        </w:rPr>
        <w:t>0</w:t>
      </w:r>
      <w:r w:rsidRPr="00697DF2">
        <w:rPr>
          <w:color w:val="000000"/>
          <w:sz w:val="20"/>
          <w:szCs w:val="20"/>
        </w:rPr>
        <w:t>C z zachowaniem elastyczności i jałowości pojemnika.</w:t>
      </w:r>
    </w:p>
    <w:p w14:paraId="4502E567" w14:textId="77777777" w:rsidR="00697DF2" w:rsidRPr="00697DF2" w:rsidRDefault="003B1AA1" w:rsidP="00697DF2">
      <w:pPr>
        <w:numPr>
          <w:ilvl w:val="0"/>
          <w:numId w:val="11"/>
        </w:numPr>
        <w:jc w:val="both"/>
        <w:rPr>
          <w:color w:val="000000"/>
          <w:sz w:val="20"/>
          <w:szCs w:val="20"/>
        </w:rPr>
      </w:pPr>
      <w:r w:rsidRPr="00697DF2">
        <w:rPr>
          <w:sz w:val="20"/>
          <w:szCs w:val="20"/>
        </w:rPr>
        <w:t>Tworzywo pojemników musi być zgodne z zapisami w Farmakopei Europejskiej.</w:t>
      </w:r>
    </w:p>
    <w:p w14:paraId="02F53164" w14:textId="1E73994C" w:rsidR="00697DF2" w:rsidRPr="00697DF2" w:rsidRDefault="003B1AA1" w:rsidP="00697DF2">
      <w:pPr>
        <w:numPr>
          <w:ilvl w:val="0"/>
          <w:numId w:val="11"/>
        </w:numPr>
        <w:jc w:val="both"/>
        <w:rPr>
          <w:color w:val="000000"/>
          <w:sz w:val="20"/>
          <w:szCs w:val="20"/>
        </w:rPr>
      </w:pPr>
      <w:r w:rsidRPr="00697DF2">
        <w:rPr>
          <w:color w:val="000000"/>
          <w:sz w:val="20"/>
          <w:szCs w:val="20"/>
        </w:rPr>
        <w:t xml:space="preserve">Na wszystkich pojemnikach muszą być trwale umocowane etykiety, które nie mogą ulegać uszkodzeniom ani odklejeniu </w:t>
      </w:r>
      <w:r w:rsidR="00697DF2">
        <w:rPr>
          <w:color w:val="000000"/>
          <w:sz w:val="20"/>
          <w:szCs w:val="20"/>
        </w:rPr>
        <w:br/>
      </w:r>
      <w:r w:rsidRPr="00697DF2">
        <w:rPr>
          <w:color w:val="000000"/>
          <w:sz w:val="20"/>
          <w:szCs w:val="20"/>
        </w:rPr>
        <w:t xml:space="preserve">w czasie preparatyki i przechowywania oraz których nie może zerwać użytkownik. </w:t>
      </w:r>
      <w:r w:rsidRPr="00697DF2">
        <w:rPr>
          <w:sz w:val="20"/>
          <w:szCs w:val="20"/>
        </w:rPr>
        <w:t>Etykiety pojemników muszą być w języku polskim, zawierać informację o przeznaczeniu pojemnika i pojemności, numer serii w postaci literowo-cyfrowej i kodu kreskowego oraz datę ważności i znak CE. Zamawiający dopuszcza etykiety z piktogramami zgodnymi z normą i standardami ISO 3826-2 pod warunkiem dołączenia instrukcji w języku polskim, gdzie wyjaśnione jest znaczenie piktogramów.</w:t>
      </w:r>
    </w:p>
    <w:p w14:paraId="7D893E11" w14:textId="77777777" w:rsidR="00697DF2" w:rsidRPr="00697DF2" w:rsidRDefault="003B1AA1" w:rsidP="00697DF2">
      <w:pPr>
        <w:numPr>
          <w:ilvl w:val="0"/>
          <w:numId w:val="11"/>
        </w:numPr>
        <w:jc w:val="both"/>
        <w:rPr>
          <w:color w:val="000000"/>
          <w:sz w:val="20"/>
          <w:szCs w:val="20"/>
        </w:rPr>
      </w:pPr>
      <w:r w:rsidRPr="00697DF2">
        <w:rPr>
          <w:sz w:val="20"/>
          <w:szCs w:val="20"/>
        </w:rPr>
        <w:t>Pojemniki powinny mieć wymiary</w:t>
      </w:r>
      <w:r w:rsidRPr="00697DF2">
        <w:rPr>
          <w:color w:val="000000"/>
          <w:sz w:val="20"/>
          <w:szCs w:val="20"/>
        </w:rPr>
        <w:t xml:space="preserve"> umożliwiające przyklejenie na nich etykiety głównej o wymiarach 10,16 cm x 10,16 cm - zgodnej z wymaganiami ISBT 128 (międzynarodowy standard oznakowania krwi i jej składników).</w:t>
      </w:r>
    </w:p>
    <w:p w14:paraId="725F4E35" w14:textId="77777777" w:rsidR="00697DF2" w:rsidRPr="00697DF2" w:rsidRDefault="003B1AA1" w:rsidP="00697DF2">
      <w:pPr>
        <w:numPr>
          <w:ilvl w:val="0"/>
          <w:numId w:val="11"/>
        </w:numPr>
        <w:jc w:val="both"/>
        <w:rPr>
          <w:color w:val="000000"/>
          <w:sz w:val="20"/>
          <w:szCs w:val="20"/>
        </w:rPr>
      </w:pPr>
      <w:r w:rsidRPr="00697DF2">
        <w:rPr>
          <w:color w:val="000000"/>
          <w:sz w:val="20"/>
          <w:szCs w:val="20"/>
        </w:rPr>
        <w:t>Pojemniki powinny zawierać co najmniej 2 porty zabezpieczone błoną od wewnątrz oraz odpowiednią ochroną z zewnątrz zapewniającą jałowość, umożliwiające łatwy dostęp do podłączenia zestawu do przetoczenia.</w:t>
      </w:r>
    </w:p>
    <w:p w14:paraId="3F3E2C8A" w14:textId="77777777" w:rsidR="00697DF2" w:rsidRPr="00697DF2" w:rsidRDefault="003B1AA1" w:rsidP="00697DF2">
      <w:pPr>
        <w:numPr>
          <w:ilvl w:val="0"/>
          <w:numId w:val="11"/>
        </w:numPr>
        <w:jc w:val="both"/>
        <w:rPr>
          <w:color w:val="000000"/>
          <w:sz w:val="20"/>
          <w:szCs w:val="20"/>
        </w:rPr>
      </w:pPr>
      <w:r w:rsidRPr="00697DF2">
        <w:rPr>
          <w:color w:val="000000"/>
          <w:sz w:val="20"/>
          <w:szCs w:val="20"/>
        </w:rPr>
        <w:t>Centralnie na dolnej krawędzi pojemnika, powinno znajdować się podłużne nacięcie materiału pojemnika, umożliwiające zawieszanie pojemników na haczykach statywów transfuzyjnych.</w:t>
      </w:r>
    </w:p>
    <w:p w14:paraId="14CB1E15" w14:textId="77777777" w:rsidR="00697DF2" w:rsidRPr="00697DF2" w:rsidRDefault="003B1AA1" w:rsidP="00697DF2">
      <w:pPr>
        <w:numPr>
          <w:ilvl w:val="0"/>
          <w:numId w:val="11"/>
        </w:numPr>
        <w:jc w:val="both"/>
        <w:rPr>
          <w:rStyle w:val="FontStyle132"/>
          <w:color w:val="000000"/>
          <w:sz w:val="20"/>
          <w:szCs w:val="20"/>
        </w:rPr>
      </w:pPr>
      <w:r w:rsidRPr="00697DF2">
        <w:rPr>
          <w:color w:val="000000"/>
          <w:sz w:val="20"/>
          <w:szCs w:val="20"/>
        </w:rPr>
        <w:t xml:space="preserve">Każdy pojedynczy pojemnik musi być zamknięty w indywidualnym opakowaniu zabezpieczającym, zapewniającym zachowanie jałowości i apyrogenności pojemników, oraz odpowiednie warunki przechowywania. Pojedyncze zestawy muszą być zapakowane w odporne na uszkodzenia opakowania zbiorcze. </w:t>
      </w:r>
      <w:r w:rsidRPr="00697DF2">
        <w:rPr>
          <w:sz w:val="20"/>
          <w:szCs w:val="20"/>
        </w:rPr>
        <w:t xml:space="preserve">Opakowanie zbiorcze może zawierać zestawy tylko jednej serii. </w:t>
      </w:r>
      <w:r w:rsidRPr="00697DF2">
        <w:rPr>
          <w:rStyle w:val="FontStyle132"/>
          <w:sz w:val="20"/>
          <w:szCs w:val="20"/>
        </w:rPr>
        <w:t>Opakowanie zbiorcze musi być oznakowane jak etykieta robocza i zawierać informację o warunkach przechowywania                           - magazynowania pojemników.</w:t>
      </w:r>
    </w:p>
    <w:p w14:paraId="557CE406" w14:textId="77777777" w:rsidR="00697DF2" w:rsidRPr="00697DF2" w:rsidRDefault="003B1AA1" w:rsidP="00697DF2">
      <w:pPr>
        <w:numPr>
          <w:ilvl w:val="0"/>
          <w:numId w:val="11"/>
        </w:numPr>
        <w:jc w:val="both"/>
        <w:rPr>
          <w:rStyle w:val="FontStyle132"/>
          <w:color w:val="000000"/>
          <w:sz w:val="20"/>
          <w:szCs w:val="20"/>
        </w:rPr>
      </w:pPr>
      <w:r w:rsidRPr="00697DF2">
        <w:rPr>
          <w:sz w:val="20"/>
          <w:szCs w:val="20"/>
        </w:rPr>
        <w:t>Wymagana możliwość przechowywania kartonów z pojemnikami do  temperatury ≥ +30ºC.</w:t>
      </w:r>
    </w:p>
    <w:p w14:paraId="0D144B08" w14:textId="429E7F0D" w:rsidR="003B1AA1" w:rsidRPr="00697DF2" w:rsidRDefault="003B1AA1" w:rsidP="00697DF2">
      <w:pPr>
        <w:numPr>
          <w:ilvl w:val="0"/>
          <w:numId w:val="11"/>
        </w:numPr>
        <w:jc w:val="both"/>
        <w:rPr>
          <w:color w:val="000000"/>
          <w:sz w:val="20"/>
          <w:szCs w:val="20"/>
        </w:rPr>
      </w:pPr>
      <w:r w:rsidRPr="00697DF2">
        <w:rPr>
          <w:sz w:val="20"/>
          <w:szCs w:val="20"/>
        </w:rPr>
        <w:t>Pojemniki muszą posiadać termin ważności co najmniej 12 miesięcy od momentu dostarczenia ich do siedziby Zamawiającego.</w:t>
      </w:r>
    </w:p>
    <w:p w14:paraId="5E8F2A67" w14:textId="77777777" w:rsidR="003B1AA1" w:rsidRPr="00697DF2" w:rsidRDefault="003B1AA1" w:rsidP="00697DF2">
      <w:pPr>
        <w:ind w:left="720"/>
        <w:jc w:val="both"/>
        <w:rPr>
          <w:rStyle w:val="FontStyle132"/>
          <w:color w:val="000000"/>
          <w:sz w:val="20"/>
          <w:szCs w:val="20"/>
        </w:rPr>
      </w:pPr>
    </w:p>
    <w:p w14:paraId="4969008C" w14:textId="791D3663" w:rsidR="00697DF2" w:rsidRPr="00697DF2" w:rsidRDefault="00697DF2" w:rsidP="00697DF2">
      <w:pPr>
        <w:jc w:val="both"/>
        <w:rPr>
          <w:b/>
          <w:bCs/>
          <w:color w:val="000000"/>
          <w:sz w:val="20"/>
          <w:szCs w:val="20"/>
        </w:rPr>
      </w:pPr>
      <w:r w:rsidRPr="00697DF2">
        <w:rPr>
          <w:b/>
          <w:bCs/>
          <w:color w:val="000000"/>
          <w:sz w:val="20"/>
          <w:szCs w:val="20"/>
        </w:rPr>
        <w:t xml:space="preserve">Część 4 - </w:t>
      </w:r>
      <w:r w:rsidRPr="00697DF2">
        <w:rPr>
          <w:b/>
          <w:bCs/>
          <w:sz w:val="20"/>
          <w:szCs w:val="20"/>
        </w:rPr>
        <w:t>dostawy pojemników transferowych á 1000ml</w:t>
      </w:r>
      <w:r w:rsidRPr="00697DF2">
        <w:rPr>
          <w:b/>
          <w:bCs/>
          <w:i/>
          <w:iCs/>
          <w:sz w:val="20"/>
          <w:szCs w:val="20"/>
        </w:rPr>
        <w:t xml:space="preserve"> </w:t>
      </w:r>
    </w:p>
    <w:p w14:paraId="261274EA" w14:textId="70BC6A0D" w:rsidR="00697DF2" w:rsidRPr="00697DF2" w:rsidRDefault="00697DF2" w:rsidP="00697DF2">
      <w:pPr>
        <w:tabs>
          <w:tab w:val="left" w:pos="7200"/>
        </w:tabs>
        <w:jc w:val="both"/>
        <w:rPr>
          <w:kern w:val="144"/>
          <w:sz w:val="20"/>
          <w:szCs w:val="20"/>
        </w:rPr>
      </w:pPr>
      <w:r w:rsidRPr="00697DF2">
        <w:rPr>
          <w:kern w:val="144"/>
          <w:sz w:val="20"/>
          <w:szCs w:val="20"/>
        </w:rPr>
        <w:t>Zastosowanie:</w:t>
      </w:r>
      <w:r w:rsidRPr="00697DF2">
        <w:rPr>
          <w:kern w:val="144"/>
          <w:sz w:val="20"/>
          <w:szCs w:val="20"/>
          <w14:shadow w14:blurRad="50800" w14:dist="38100" w14:dir="2700000" w14:sx="100000" w14:sy="100000" w14:kx="0" w14:ky="0" w14:algn="tl">
            <w14:srgbClr w14:val="000000">
              <w14:alpha w14:val="60000"/>
            </w14:srgbClr>
          </w14:shadow>
        </w:rPr>
        <w:t xml:space="preserve"> </w:t>
      </w:r>
      <w:r w:rsidRPr="00697DF2">
        <w:rPr>
          <w:kern w:val="144"/>
          <w:sz w:val="20"/>
          <w:szCs w:val="20"/>
        </w:rPr>
        <w:t>do preparatyki krwi i jej składników</w:t>
      </w:r>
    </w:p>
    <w:p w14:paraId="25E02A1F" w14:textId="073D58C1" w:rsidR="00697DF2" w:rsidRPr="00697DF2" w:rsidRDefault="00697DF2" w:rsidP="00697DF2">
      <w:pPr>
        <w:tabs>
          <w:tab w:val="left" w:pos="7200"/>
        </w:tabs>
        <w:jc w:val="both"/>
        <w:rPr>
          <w:b/>
          <w:bCs/>
          <w:sz w:val="20"/>
          <w:szCs w:val="20"/>
        </w:rPr>
      </w:pPr>
      <w:r w:rsidRPr="00697DF2">
        <w:rPr>
          <w:b/>
          <w:bCs/>
          <w:sz w:val="20"/>
          <w:szCs w:val="20"/>
        </w:rPr>
        <w:t>Wymagane do spełnienia parametry graniczne dotyczące pojemników:</w:t>
      </w:r>
    </w:p>
    <w:p w14:paraId="23BCB14B" w14:textId="77777777" w:rsidR="00697DF2" w:rsidRPr="00697DF2" w:rsidRDefault="00697DF2" w:rsidP="00697DF2">
      <w:pPr>
        <w:numPr>
          <w:ilvl w:val="0"/>
          <w:numId w:val="12"/>
        </w:numPr>
        <w:jc w:val="both"/>
        <w:rPr>
          <w:color w:val="000000"/>
          <w:sz w:val="20"/>
          <w:szCs w:val="20"/>
        </w:rPr>
      </w:pPr>
      <w:r w:rsidRPr="00697DF2">
        <w:rPr>
          <w:color w:val="000000"/>
          <w:sz w:val="20"/>
          <w:szCs w:val="20"/>
        </w:rPr>
        <w:t>Budowa: pojemniki puste o pojemności 1000 ml ±10%.</w:t>
      </w:r>
    </w:p>
    <w:p w14:paraId="18EA4F68" w14:textId="77777777" w:rsidR="00697DF2" w:rsidRPr="00697DF2" w:rsidRDefault="00697DF2" w:rsidP="00697DF2">
      <w:pPr>
        <w:numPr>
          <w:ilvl w:val="0"/>
          <w:numId w:val="12"/>
        </w:numPr>
        <w:rPr>
          <w:sz w:val="20"/>
          <w:szCs w:val="20"/>
        </w:rPr>
      </w:pPr>
      <w:r w:rsidRPr="00697DF2">
        <w:rPr>
          <w:sz w:val="20"/>
          <w:szCs w:val="20"/>
        </w:rPr>
        <w:t>Pojemniki muszą być sterylne, nietoksyczne, apyrogenne, jednorazowego użytku.</w:t>
      </w:r>
    </w:p>
    <w:p w14:paraId="6FF5155B" w14:textId="77777777" w:rsidR="00697DF2" w:rsidRPr="00697DF2" w:rsidRDefault="00697DF2" w:rsidP="00697DF2">
      <w:pPr>
        <w:numPr>
          <w:ilvl w:val="0"/>
          <w:numId w:val="12"/>
        </w:numPr>
        <w:jc w:val="both"/>
        <w:rPr>
          <w:sz w:val="20"/>
          <w:szCs w:val="20"/>
        </w:rPr>
      </w:pPr>
      <w:r w:rsidRPr="00697DF2">
        <w:rPr>
          <w:sz w:val="20"/>
          <w:szCs w:val="20"/>
        </w:rPr>
        <w:t>Wymagalny dren pojemnika długości min. 40 cm, zakończony igłą plastikową typu „SPIKE”</w:t>
      </w:r>
    </w:p>
    <w:p w14:paraId="28413653" w14:textId="77777777" w:rsidR="00697DF2" w:rsidRPr="00697DF2" w:rsidRDefault="00697DF2" w:rsidP="00697DF2">
      <w:pPr>
        <w:numPr>
          <w:ilvl w:val="0"/>
          <w:numId w:val="12"/>
        </w:numPr>
        <w:jc w:val="both"/>
        <w:rPr>
          <w:color w:val="000000"/>
          <w:sz w:val="20"/>
          <w:szCs w:val="20"/>
        </w:rPr>
      </w:pPr>
      <w:r w:rsidRPr="00697DF2">
        <w:rPr>
          <w:color w:val="000000"/>
          <w:sz w:val="20"/>
          <w:szCs w:val="20"/>
        </w:rPr>
        <w:t>Wszystkie dreny muszą być elastyczne, umożliwiać łatwe rolowanie i skuteczne zadziałanie posiadanych zgrzewarek.</w:t>
      </w:r>
    </w:p>
    <w:p w14:paraId="68CDE824" w14:textId="53CCC20A" w:rsidR="00697DF2" w:rsidRPr="00697DF2" w:rsidRDefault="00697DF2" w:rsidP="00697DF2">
      <w:pPr>
        <w:numPr>
          <w:ilvl w:val="0"/>
          <w:numId w:val="12"/>
        </w:numPr>
        <w:jc w:val="both"/>
        <w:rPr>
          <w:color w:val="000000"/>
          <w:sz w:val="20"/>
          <w:szCs w:val="20"/>
        </w:rPr>
      </w:pPr>
      <w:r w:rsidRPr="00697DF2">
        <w:rPr>
          <w:color w:val="000000"/>
          <w:sz w:val="20"/>
          <w:szCs w:val="20"/>
        </w:rPr>
        <w:t xml:space="preserve">Średnica drenów powinna mieć wymiary zapewniające wzajemną kompatybilność drenów różnych pojemników, </w:t>
      </w:r>
      <w:r>
        <w:rPr>
          <w:color w:val="000000"/>
          <w:sz w:val="20"/>
          <w:szCs w:val="20"/>
        </w:rPr>
        <w:br/>
      </w:r>
      <w:r w:rsidRPr="00697DF2">
        <w:rPr>
          <w:color w:val="000000"/>
          <w:sz w:val="20"/>
          <w:szCs w:val="20"/>
        </w:rPr>
        <w:t>aby umożliwić ich połączenia w układzie otwartym i zamkniętym.</w:t>
      </w:r>
    </w:p>
    <w:p w14:paraId="3E4F8CB0" w14:textId="77777777" w:rsidR="00697DF2" w:rsidRPr="00697DF2" w:rsidRDefault="00697DF2" w:rsidP="00697DF2">
      <w:pPr>
        <w:numPr>
          <w:ilvl w:val="0"/>
          <w:numId w:val="12"/>
        </w:numPr>
        <w:jc w:val="both"/>
        <w:rPr>
          <w:color w:val="000000"/>
          <w:sz w:val="20"/>
          <w:szCs w:val="20"/>
        </w:rPr>
      </w:pPr>
      <w:r w:rsidRPr="00697DF2">
        <w:rPr>
          <w:color w:val="000000"/>
          <w:sz w:val="20"/>
          <w:szCs w:val="20"/>
        </w:rPr>
        <w:t>Możliwość wirowania pojemników z siłą 5000 g przez 6 minut w temperaturze +22</w:t>
      </w:r>
      <w:r w:rsidRPr="00697DF2">
        <w:rPr>
          <w:color w:val="000000"/>
          <w:sz w:val="20"/>
          <w:szCs w:val="20"/>
          <w:vertAlign w:val="superscript"/>
        </w:rPr>
        <w:t>o</w:t>
      </w:r>
      <w:r w:rsidRPr="00697DF2">
        <w:rPr>
          <w:color w:val="000000"/>
          <w:sz w:val="20"/>
          <w:szCs w:val="20"/>
        </w:rPr>
        <w:t>C przy objętości zawartego składnika 800 ml ± 10%.</w:t>
      </w:r>
    </w:p>
    <w:p w14:paraId="0CD50D17" w14:textId="77777777" w:rsidR="00697DF2" w:rsidRPr="00697DF2" w:rsidRDefault="00697DF2" w:rsidP="00697DF2">
      <w:pPr>
        <w:numPr>
          <w:ilvl w:val="0"/>
          <w:numId w:val="12"/>
        </w:numPr>
        <w:jc w:val="both"/>
        <w:rPr>
          <w:color w:val="000000"/>
          <w:sz w:val="20"/>
          <w:szCs w:val="20"/>
        </w:rPr>
      </w:pPr>
      <w:r w:rsidRPr="00697DF2">
        <w:rPr>
          <w:color w:val="000000"/>
          <w:sz w:val="20"/>
          <w:szCs w:val="20"/>
        </w:rPr>
        <w:t>Tworzywo, z którego wykonane są pojemniki musi być przejrzyste, umożliwiające wizualną ocenę pojemnika i składnika znajdującego się w pojemniku.</w:t>
      </w:r>
    </w:p>
    <w:p w14:paraId="6463D3F7" w14:textId="77777777" w:rsidR="00697DF2" w:rsidRPr="00697DF2" w:rsidRDefault="00697DF2" w:rsidP="00697DF2">
      <w:pPr>
        <w:numPr>
          <w:ilvl w:val="0"/>
          <w:numId w:val="12"/>
        </w:numPr>
        <w:autoSpaceDE w:val="0"/>
        <w:autoSpaceDN w:val="0"/>
        <w:adjustRightInd w:val="0"/>
        <w:rPr>
          <w:bCs/>
          <w:sz w:val="20"/>
          <w:szCs w:val="20"/>
        </w:rPr>
      </w:pPr>
      <w:r w:rsidRPr="00697DF2">
        <w:rPr>
          <w:sz w:val="20"/>
          <w:szCs w:val="20"/>
        </w:rPr>
        <w:t>Tworzywo pojemników musi być zgodne z zapisami w Farmakopei Europejskiej.</w:t>
      </w:r>
      <w:r w:rsidRPr="00697DF2">
        <w:rPr>
          <w:color w:val="000000"/>
          <w:sz w:val="20"/>
          <w:szCs w:val="20"/>
        </w:rPr>
        <w:t xml:space="preserve"> </w:t>
      </w:r>
    </w:p>
    <w:p w14:paraId="57CAC8F7" w14:textId="713CD3C5" w:rsidR="00697DF2" w:rsidRPr="00697DF2" w:rsidRDefault="00697DF2" w:rsidP="00697DF2">
      <w:pPr>
        <w:numPr>
          <w:ilvl w:val="0"/>
          <w:numId w:val="12"/>
        </w:numPr>
        <w:jc w:val="both"/>
        <w:rPr>
          <w:color w:val="000000"/>
          <w:sz w:val="20"/>
          <w:szCs w:val="20"/>
        </w:rPr>
      </w:pPr>
      <w:r w:rsidRPr="00697DF2">
        <w:rPr>
          <w:color w:val="000000"/>
          <w:sz w:val="20"/>
          <w:szCs w:val="20"/>
        </w:rPr>
        <w:t xml:space="preserve">Na wszystkich pojemnikach muszą być trwale umocowane etykiety, które nie mogą ulegać uszkodzeniom ani odklejeniu </w:t>
      </w:r>
      <w:r>
        <w:rPr>
          <w:color w:val="000000"/>
          <w:sz w:val="20"/>
          <w:szCs w:val="20"/>
        </w:rPr>
        <w:br/>
      </w:r>
      <w:r w:rsidRPr="00697DF2">
        <w:rPr>
          <w:color w:val="000000"/>
          <w:sz w:val="20"/>
          <w:szCs w:val="20"/>
        </w:rPr>
        <w:t xml:space="preserve">w czasie preparatyki i przechowywania oraz których nie może zerwać użytkownik. </w:t>
      </w:r>
      <w:r w:rsidRPr="00697DF2">
        <w:rPr>
          <w:sz w:val="20"/>
          <w:szCs w:val="20"/>
        </w:rPr>
        <w:t>Etykiety pojemników muszą być w języku polskim, zawierać informację o przeznaczeniu pojemnika i pojemności, numer serii w postaci literowo-cyfrowej i kodu kreskowego oraz datę ważności i znak CE. Zamawiający dopuszcza etykiety z piktogramami zgodnymi z normą i standardami ISO 3826-2 pod warunkiem dołączenia instrukcji w języku polskim, gdzie wyjaśnione jest znaczenie piktogramów.</w:t>
      </w:r>
    </w:p>
    <w:p w14:paraId="198C905D" w14:textId="77777777" w:rsidR="00697DF2" w:rsidRPr="00697DF2" w:rsidRDefault="00697DF2" w:rsidP="00697DF2">
      <w:pPr>
        <w:numPr>
          <w:ilvl w:val="0"/>
          <w:numId w:val="12"/>
        </w:numPr>
        <w:jc w:val="both"/>
        <w:rPr>
          <w:color w:val="000000"/>
          <w:sz w:val="20"/>
          <w:szCs w:val="20"/>
        </w:rPr>
      </w:pPr>
      <w:r w:rsidRPr="00697DF2">
        <w:rPr>
          <w:sz w:val="20"/>
          <w:szCs w:val="20"/>
        </w:rPr>
        <w:t>Pojemniki powinny mieć wymiary</w:t>
      </w:r>
      <w:r w:rsidRPr="00697DF2">
        <w:rPr>
          <w:color w:val="000000"/>
          <w:sz w:val="20"/>
          <w:szCs w:val="20"/>
        </w:rPr>
        <w:t xml:space="preserve"> umożliwiające przyklejenie na nich etykiety głównej o wymiarach 10,16 cm x 10,16 cm - zgodnej z wymaganiami ISBT 128 (międzynarodowy standard oznakowania krwi i jej składników).</w:t>
      </w:r>
    </w:p>
    <w:p w14:paraId="408AF117" w14:textId="77777777" w:rsidR="00697DF2" w:rsidRPr="00697DF2" w:rsidRDefault="00697DF2" w:rsidP="00697DF2">
      <w:pPr>
        <w:numPr>
          <w:ilvl w:val="0"/>
          <w:numId w:val="12"/>
        </w:numPr>
        <w:jc w:val="both"/>
        <w:rPr>
          <w:color w:val="000000"/>
          <w:sz w:val="20"/>
          <w:szCs w:val="20"/>
        </w:rPr>
      </w:pPr>
      <w:r w:rsidRPr="00697DF2">
        <w:rPr>
          <w:color w:val="000000"/>
          <w:sz w:val="20"/>
          <w:szCs w:val="20"/>
        </w:rPr>
        <w:lastRenderedPageBreak/>
        <w:t>Pojemniki powinny zawierać co najmniej 2 porty zabezpieczone błoną od wewnątrz oraz odpowiednią ochroną z zewnątrz zapewniającą jałowość, umożliwiające łatwy dostęp do podłączenia zestawu do przetoczenia.</w:t>
      </w:r>
    </w:p>
    <w:p w14:paraId="2D4FC6C3" w14:textId="77777777" w:rsidR="00697DF2" w:rsidRPr="00697DF2" w:rsidRDefault="00697DF2" w:rsidP="00697DF2">
      <w:pPr>
        <w:numPr>
          <w:ilvl w:val="0"/>
          <w:numId w:val="12"/>
        </w:numPr>
        <w:ind w:right="-1"/>
        <w:jc w:val="both"/>
        <w:rPr>
          <w:kern w:val="144"/>
          <w:sz w:val="20"/>
          <w:szCs w:val="20"/>
        </w:rPr>
      </w:pPr>
      <w:r w:rsidRPr="00697DF2">
        <w:rPr>
          <w:kern w:val="144"/>
          <w:sz w:val="20"/>
          <w:szCs w:val="20"/>
        </w:rPr>
        <w:t>Centralnie na dolnej krawędzi pojemnika, powinno znajdować się podłużne nacięcie materiału pojemnika, umożliwiające zawieszanie pojemników na haczykach statywów transfuzyjnych.</w:t>
      </w:r>
    </w:p>
    <w:p w14:paraId="688904A6" w14:textId="77777777" w:rsidR="00697DF2" w:rsidRPr="00697DF2" w:rsidRDefault="00697DF2" w:rsidP="00697DF2">
      <w:pPr>
        <w:numPr>
          <w:ilvl w:val="0"/>
          <w:numId w:val="12"/>
        </w:numPr>
        <w:ind w:right="-1"/>
        <w:jc w:val="both"/>
        <w:rPr>
          <w:kern w:val="144"/>
          <w:sz w:val="20"/>
          <w:szCs w:val="20"/>
        </w:rPr>
      </w:pPr>
      <w:r w:rsidRPr="00697DF2">
        <w:rPr>
          <w:color w:val="000000"/>
          <w:kern w:val="144"/>
          <w:sz w:val="20"/>
          <w:szCs w:val="20"/>
        </w:rPr>
        <w:t xml:space="preserve">Każdy pojedynczy pojemnik musi być zamknięty w indywidualnym opakowaniu zabezpieczającym, zapewniającym zachowanie jałowości i apyrogenności pojemników, oraz odpowiednie warunki przechowywania. Pojedyncze zestawy muszą być zapakowane w odporne na uszkodzenia opakowania zbiorcze. </w:t>
      </w:r>
      <w:r w:rsidRPr="00697DF2">
        <w:rPr>
          <w:kern w:val="144"/>
          <w:sz w:val="20"/>
          <w:szCs w:val="20"/>
        </w:rPr>
        <w:t>Opakowanie zbiorcze może zawierać zestawy tylko jednej serii. Opakowanie zbiorcze musi być oznakowane jak etykieta robocza i zawierać informację o warunkach przechowywania                               - magazynowania pojemników.</w:t>
      </w:r>
    </w:p>
    <w:p w14:paraId="6B843E07" w14:textId="77777777" w:rsidR="00697DF2" w:rsidRPr="00697DF2" w:rsidRDefault="00697DF2" w:rsidP="00697DF2">
      <w:pPr>
        <w:numPr>
          <w:ilvl w:val="0"/>
          <w:numId w:val="12"/>
        </w:numPr>
        <w:autoSpaceDE w:val="0"/>
        <w:autoSpaceDN w:val="0"/>
        <w:adjustRightInd w:val="0"/>
        <w:jc w:val="both"/>
        <w:rPr>
          <w:bCs/>
          <w:sz w:val="20"/>
          <w:szCs w:val="20"/>
        </w:rPr>
      </w:pPr>
      <w:r w:rsidRPr="00697DF2">
        <w:rPr>
          <w:sz w:val="20"/>
          <w:szCs w:val="20"/>
        </w:rPr>
        <w:t>Wymagana możliwość przechowywania kartonów z pojemnikami do  temperatury ≥ +30ºC.</w:t>
      </w:r>
    </w:p>
    <w:p w14:paraId="4B4C77B2" w14:textId="77777777" w:rsidR="00697DF2" w:rsidRPr="00697DF2" w:rsidRDefault="00697DF2" w:rsidP="00697DF2">
      <w:pPr>
        <w:numPr>
          <w:ilvl w:val="0"/>
          <w:numId w:val="12"/>
        </w:numPr>
        <w:jc w:val="both"/>
        <w:rPr>
          <w:sz w:val="20"/>
          <w:szCs w:val="20"/>
        </w:rPr>
      </w:pPr>
      <w:r w:rsidRPr="00697DF2">
        <w:rPr>
          <w:sz w:val="20"/>
          <w:szCs w:val="20"/>
        </w:rPr>
        <w:t>Pojemniki muszą posiadać termin ważności co najmniej 12 miesięcy od momentu dostarczenia ich do siedziby Zamawiającego.</w:t>
      </w:r>
    </w:p>
    <w:p w14:paraId="671E8912" w14:textId="77777777" w:rsidR="003B1AA1" w:rsidRPr="00697DF2" w:rsidRDefault="003B1AA1" w:rsidP="00697DF2">
      <w:pPr>
        <w:rPr>
          <w:b/>
          <w:bCs/>
          <w:kern w:val="144"/>
          <w:sz w:val="20"/>
          <w:szCs w:val="20"/>
        </w:rPr>
      </w:pPr>
    </w:p>
    <w:p w14:paraId="730F3237" w14:textId="2D8BCC04" w:rsidR="00705641" w:rsidRPr="00697DF2" w:rsidRDefault="00957EA8" w:rsidP="00697DF2">
      <w:pPr>
        <w:rPr>
          <w:kern w:val="144"/>
          <w:sz w:val="20"/>
          <w:szCs w:val="20"/>
        </w:rPr>
      </w:pPr>
      <w:r w:rsidRPr="00697DF2">
        <w:rPr>
          <w:b/>
          <w:bCs/>
          <w:kern w:val="144"/>
          <w:sz w:val="20"/>
          <w:szCs w:val="20"/>
        </w:rPr>
        <w:t>Część 5</w:t>
      </w:r>
      <w:r w:rsidRPr="00697DF2">
        <w:rPr>
          <w:kern w:val="144"/>
          <w:sz w:val="20"/>
          <w:szCs w:val="20"/>
        </w:rPr>
        <w:t xml:space="preserve"> - </w:t>
      </w:r>
      <w:r w:rsidRPr="00697DF2">
        <w:rPr>
          <w:b/>
          <w:bCs/>
          <w:sz w:val="20"/>
          <w:szCs w:val="20"/>
        </w:rPr>
        <w:t>d</w:t>
      </w:r>
      <w:r w:rsidR="00B4148B" w:rsidRPr="00697DF2">
        <w:rPr>
          <w:b/>
          <w:bCs/>
          <w:sz w:val="20"/>
          <w:szCs w:val="20"/>
        </w:rPr>
        <w:t>ostaw</w:t>
      </w:r>
      <w:r w:rsidRPr="00697DF2">
        <w:rPr>
          <w:b/>
          <w:bCs/>
          <w:sz w:val="20"/>
          <w:szCs w:val="20"/>
        </w:rPr>
        <w:t>y</w:t>
      </w:r>
      <w:r w:rsidR="00B4148B" w:rsidRPr="00697DF2">
        <w:rPr>
          <w:b/>
          <w:bCs/>
          <w:sz w:val="20"/>
          <w:szCs w:val="20"/>
        </w:rPr>
        <w:t xml:space="preserve"> </w:t>
      </w:r>
      <w:r w:rsidRPr="00697DF2">
        <w:rPr>
          <w:b/>
          <w:bCs/>
          <w:sz w:val="20"/>
          <w:szCs w:val="20"/>
        </w:rPr>
        <w:t xml:space="preserve">48 000 (czterdziestu ośmiu tysięcy) pojemników potrójnych góra-dół </w:t>
      </w:r>
      <w:r w:rsidR="00B4148B" w:rsidRPr="00697DF2">
        <w:rPr>
          <w:b/>
          <w:bCs/>
          <w:sz w:val="20"/>
          <w:szCs w:val="20"/>
        </w:rPr>
        <w:t>RW 450ml/2X400ml do 600ml</w:t>
      </w:r>
    </w:p>
    <w:p w14:paraId="29C1DB98" w14:textId="77777777" w:rsidR="00957EA8" w:rsidRPr="00697DF2" w:rsidRDefault="00705641" w:rsidP="00697DF2">
      <w:pPr>
        <w:pStyle w:val="Akapitzlist"/>
        <w:numPr>
          <w:ilvl w:val="0"/>
          <w:numId w:val="4"/>
        </w:numPr>
        <w:autoSpaceDE w:val="0"/>
        <w:autoSpaceDN w:val="0"/>
        <w:adjustRightInd w:val="0"/>
        <w:jc w:val="both"/>
        <w:rPr>
          <w:bCs/>
          <w:sz w:val="20"/>
          <w:szCs w:val="20"/>
        </w:rPr>
      </w:pPr>
      <w:r w:rsidRPr="00697DF2">
        <w:rPr>
          <w:bCs/>
          <w:sz w:val="20"/>
          <w:szCs w:val="20"/>
        </w:rPr>
        <w:t>Zestaw pojemników musi składać się z drenu do poboru krwi, pojemnika głównego i dwóch pojemników transferowych trwale i integralnie połączonych drenami zapewniającymi kontrolowany, zamknięty, jałowy i apyrogenny system przepływu między pojemnikami.</w:t>
      </w:r>
    </w:p>
    <w:p w14:paraId="6F0E45F9" w14:textId="485AB755" w:rsidR="00957EA8" w:rsidRPr="00697DF2" w:rsidRDefault="00705641" w:rsidP="00697DF2">
      <w:pPr>
        <w:pStyle w:val="Akapitzlist"/>
        <w:numPr>
          <w:ilvl w:val="0"/>
          <w:numId w:val="4"/>
        </w:numPr>
        <w:autoSpaceDE w:val="0"/>
        <w:autoSpaceDN w:val="0"/>
        <w:adjustRightInd w:val="0"/>
        <w:jc w:val="both"/>
        <w:rPr>
          <w:bCs/>
          <w:sz w:val="20"/>
          <w:szCs w:val="20"/>
        </w:rPr>
      </w:pPr>
      <w:r w:rsidRPr="00697DF2">
        <w:rPr>
          <w:sz w:val="20"/>
          <w:szCs w:val="20"/>
        </w:rPr>
        <w:t>Budowa: pojemnik środkowy (główny) zawierający płyn konserwujący CPD</w:t>
      </w:r>
      <w:r w:rsidR="00B3422B" w:rsidRPr="00697DF2">
        <w:rPr>
          <w:i/>
          <w:iCs/>
          <w:sz w:val="20"/>
          <w:szCs w:val="20"/>
          <w:vertAlign w:val="superscript"/>
        </w:rPr>
        <w:t xml:space="preserve"> </w:t>
      </w:r>
      <w:r w:rsidRPr="00697DF2">
        <w:rPr>
          <w:sz w:val="20"/>
          <w:szCs w:val="20"/>
        </w:rPr>
        <w:t xml:space="preserve">w ilości zgodnej z obowiązującymi przepisami </w:t>
      </w:r>
      <w:r w:rsidR="00A31CDF" w:rsidRPr="00697DF2">
        <w:rPr>
          <w:sz w:val="20"/>
          <w:szCs w:val="20"/>
        </w:rPr>
        <w:br/>
      </w:r>
      <w:r w:rsidRPr="00697DF2">
        <w:rPr>
          <w:sz w:val="20"/>
          <w:szCs w:val="20"/>
        </w:rPr>
        <w:t xml:space="preserve">do pobierania 450 ml + 10 % krwi + pojemnik dolny á 400-600 ml (transferowy przeznaczony do przechowywania KKCz </w:t>
      </w:r>
      <w:r w:rsidR="00B3422B" w:rsidRPr="00697DF2">
        <w:rPr>
          <w:i/>
          <w:iCs/>
          <w:sz w:val="20"/>
          <w:szCs w:val="20"/>
          <w:vertAlign w:val="superscript"/>
        </w:rPr>
        <w:t xml:space="preserve"> </w:t>
      </w:r>
      <w:r w:rsidRPr="00697DF2">
        <w:rPr>
          <w:sz w:val="20"/>
          <w:szCs w:val="20"/>
        </w:rPr>
        <w:t>przez 42 dni) zawierający RW</w:t>
      </w:r>
      <w:r w:rsidRPr="00697DF2">
        <w:rPr>
          <w:i/>
          <w:iCs/>
          <w:sz w:val="20"/>
          <w:szCs w:val="20"/>
        </w:rPr>
        <w:t xml:space="preserve"> </w:t>
      </w:r>
      <w:r w:rsidRPr="00697DF2">
        <w:rPr>
          <w:sz w:val="20"/>
          <w:szCs w:val="20"/>
        </w:rPr>
        <w:t>w ilości zgodnej z obowiązującymi przepisami</w:t>
      </w:r>
      <w:r w:rsidR="00B3422B" w:rsidRPr="00697DF2">
        <w:rPr>
          <w:sz w:val="20"/>
          <w:szCs w:val="20"/>
        </w:rPr>
        <w:t xml:space="preserve"> /</w:t>
      </w:r>
      <w:r w:rsidRPr="00697DF2">
        <w:rPr>
          <w:sz w:val="20"/>
          <w:szCs w:val="20"/>
        </w:rPr>
        <w:t xml:space="preserve"> (stopień hemolizy w KKCz &lt; 0,8 % w ostatnim dniu przechowywania) + pusty pojemnik górny á 400-600 ml do produkcji i przechowywania FFP</w:t>
      </w:r>
      <w:r w:rsidR="00E76C03" w:rsidRPr="00697DF2">
        <w:rPr>
          <w:i/>
          <w:iCs/>
          <w:sz w:val="20"/>
          <w:szCs w:val="20"/>
          <w:vertAlign w:val="superscript"/>
        </w:rPr>
        <w:t xml:space="preserve"> </w:t>
      </w:r>
    </w:p>
    <w:p w14:paraId="1C04BB8F" w14:textId="77777777" w:rsidR="00957EA8" w:rsidRPr="00697DF2" w:rsidRDefault="00705641" w:rsidP="00697DF2">
      <w:pPr>
        <w:pStyle w:val="Akapitzlist"/>
        <w:numPr>
          <w:ilvl w:val="0"/>
          <w:numId w:val="4"/>
        </w:numPr>
        <w:autoSpaceDE w:val="0"/>
        <w:autoSpaceDN w:val="0"/>
        <w:adjustRightInd w:val="0"/>
        <w:jc w:val="both"/>
        <w:rPr>
          <w:bCs/>
          <w:sz w:val="20"/>
          <w:szCs w:val="20"/>
        </w:rPr>
      </w:pPr>
      <w:r w:rsidRPr="00697DF2">
        <w:rPr>
          <w:iCs/>
          <w:sz w:val="20"/>
          <w:szCs w:val="20"/>
        </w:rPr>
        <w:t>Pojemnik do pobierania musi posiadać połączony drenem z drenem czerpalnym dodatkowy pojemnik umożliwiający pobieranie próbek krwi z pierwszej porcji krwi przed donacją o pojemności min. 30 ml, z dołączonym uniwersalnym portem umożliwiającym pobór próbek krwi w systemie zamkniętym.</w:t>
      </w:r>
    </w:p>
    <w:p w14:paraId="28A1A7BE" w14:textId="09C0E920" w:rsidR="00705641" w:rsidRPr="00697DF2" w:rsidRDefault="00705641" w:rsidP="00697DF2">
      <w:pPr>
        <w:pStyle w:val="Akapitzlist"/>
        <w:numPr>
          <w:ilvl w:val="0"/>
          <w:numId w:val="4"/>
        </w:numPr>
        <w:autoSpaceDE w:val="0"/>
        <w:autoSpaceDN w:val="0"/>
        <w:adjustRightInd w:val="0"/>
        <w:jc w:val="both"/>
        <w:rPr>
          <w:bCs/>
          <w:sz w:val="20"/>
          <w:szCs w:val="20"/>
        </w:rPr>
      </w:pPr>
      <w:r w:rsidRPr="00697DF2">
        <w:rPr>
          <w:sz w:val="20"/>
          <w:szCs w:val="20"/>
        </w:rPr>
        <w:t xml:space="preserve">Zastosowanie: do pobierania krwi, do produkcji koncentratu krwinek czerwonych bez kożuszka leukocytarno-płytkowego </w:t>
      </w:r>
      <w:r w:rsidR="00A31CDF" w:rsidRPr="00697DF2">
        <w:rPr>
          <w:sz w:val="20"/>
          <w:szCs w:val="20"/>
        </w:rPr>
        <w:br/>
      </w:r>
      <w:r w:rsidRPr="00697DF2">
        <w:rPr>
          <w:sz w:val="20"/>
          <w:szCs w:val="20"/>
        </w:rPr>
        <w:t>w roztworze wzbogacającym, osocza świeżo mrożonego oraz kożuszka leukocytarno-płytkowego.</w:t>
      </w:r>
    </w:p>
    <w:p w14:paraId="6FCE0468" w14:textId="77777777" w:rsidR="00705641" w:rsidRPr="00697DF2" w:rsidRDefault="00705641" w:rsidP="00697DF2">
      <w:pPr>
        <w:autoSpaceDE w:val="0"/>
        <w:autoSpaceDN w:val="0"/>
        <w:adjustRightInd w:val="0"/>
        <w:jc w:val="both"/>
        <w:rPr>
          <w:b/>
          <w:bCs/>
          <w:sz w:val="20"/>
          <w:szCs w:val="20"/>
        </w:rPr>
      </w:pPr>
      <w:r w:rsidRPr="00697DF2">
        <w:rPr>
          <w:i/>
          <w:iCs/>
          <w:sz w:val="20"/>
          <w:szCs w:val="20"/>
        </w:rPr>
        <w:t xml:space="preserve"> </w:t>
      </w:r>
      <w:r w:rsidRPr="00697DF2">
        <w:rPr>
          <w:b/>
          <w:bCs/>
          <w:sz w:val="20"/>
          <w:szCs w:val="20"/>
        </w:rPr>
        <w:t>Wymagane jest spełnienie następujących warunków granicznych:</w:t>
      </w:r>
    </w:p>
    <w:p w14:paraId="5C6D2DAC" w14:textId="77777777" w:rsidR="00957EA8" w:rsidRPr="00697DF2" w:rsidRDefault="00705641" w:rsidP="00697DF2">
      <w:pPr>
        <w:pStyle w:val="Akapitzlist"/>
        <w:numPr>
          <w:ilvl w:val="0"/>
          <w:numId w:val="5"/>
        </w:numPr>
        <w:autoSpaceDE w:val="0"/>
        <w:autoSpaceDN w:val="0"/>
        <w:adjustRightInd w:val="0"/>
        <w:jc w:val="both"/>
        <w:rPr>
          <w:b/>
          <w:bCs/>
          <w:sz w:val="20"/>
          <w:szCs w:val="20"/>
        </w:rPr>
      </w:pPr>
      <w:r w:rsidRPr="00697DF2">
        <w:rPr>
          <w:sz w:val="20"/>
          <w:szCs w:val="20"/>
        </w:rPr>
        <w:t>Dren czerpalny musi mieć długość min. 1</w:t>
      </w:r>
      <w:r w:rsidR="008B7D0C" w:rsidRPr="00697DF2">
        <w:rPr>
          <w:sz w:val="20"/>
          <w:szCs w:val="20"/>
        </w:rPr>
        <w:t>0</w:t>
      </w:r>
      <w:r w:rsidRPr="00697DF2">
        <w:rPr>
          <w:sz w:val="20"/>
          <w:szCs w:val="20"/>
        </w:rPr>
        <w:t xml:space="preserve">0 cm, zakończony ostrą igłą 16G, poddaną obróbce zwiększającej poślizg (np. silikonowanie). Konstrukcja igły musi gwarantować zapobieganie wycinaniu skóry, tkanki podskórnej i żyły (np. ostrze ścięte w dwóch płaszczyznach). Igła musi być zabezpieczona zamkniętą osłonką w taki sposób, aby zdjęcie osłonki z ostrza było możliwe i łatwe bez użycia jakichkolwiek narzędzi, dopiero po przerwaniu łączenia osłonki z nasadą igły, bez możliwości ponownego zamocowania osłonki na igłę. Zestaw powinien posiadać dodatkową osłonkę zapewniającą zabezpieczenie igły po pobraniu (umożliwiającą bezpieczne usunięcie igły z ramienia dawcy) oraz jej nieodwracalne zablokowanie po zakończeniu donacji. W miejscu połączenia igły z drenem czerpalnym powinien być wygodny, zapobiegający ślizganiu się palców, uchwyt umożliwiający dokonanie wkłucia do żyły. Od drenu czerpalnego na wysokości </w:t>
      </w:r>
      <w:r w:rsidR="001C78DE" w:rsidRPr="00697DF2">
        <w:rPr>
          <w:sz w:val="20"/>
          <w:szCs w:val="20"/>
        </w:rPr>
        <w:t>18</w:t>
      </w:r>
      <w:r w:rsidRPr="00697DF2">
        <w:rPr>
          <w:sz w:val="20"/>
          <w:szCs w:val="20"/>
        </w:rPr>
        <w:t>-</w:t>
      </w:r>
      <w:smartTag w:uri="urn:schemas-microsoft-com:office:smarttags" w:element="metricconverter">
        <w:smartTagPr>
          <w:attr w:name="ProductID" w:val="35 cm"/>
        </w:smartTagPr>
        <w:r w:rsidRPr="00697DF2">
          <w:rPr>
            <w:sz w:val="20"/>
            <w:szCs w:val="20"/>
          </w:rPr>
          <w:t>35 cm</w:t>
        </w:r>
      </w:smartTag>
      <w:r w:rsidRPr="00697DF2">
        <w:rPr>
          <w:sz w:val="20"/>
          <w:szCs w:val="20"/>
        </w:rPr>
        <w:t xml:space="preserve">, licząc od igły, powinien odchodzić dren (odejście musi gwarantować komfort wkłucia), doprowadzający tzw. „Pierwszą Krew” do pojemniczka o pojemności min. 30 ml. Na drenie tym powinien znajdować się otwarty zacisk plastikowy pozwalający na natychmiastowe przerwanie przepływu krwi. Na drenie czerpalnym głównym (pojemnik do pobierania) </w:t>
      </w:r>
      <w:r w:rsidR="00C57BF3" w:rsidRPr="00697DF2">
        <w:rPr>
          <w:sz w:val="20"/>
          <w:szCs w:val="20"/>
        </w:rPr>
        <w:t>lub na drenie biegnącym do pojemnika próbkowego</w:t>
      </w:r>
      <w:r w:rsidRPr="00697DF2">
        <w:rPr>
          <w:sz w:val="20"/>
          <w:szCs w:val="20"/>
        </w:rPr>
        <w:t xml:space="preserve"> powinien znajdować się komin z łatwo łamliwą membraną. Poniżej, w odległości około </w:t>
      </w:r>
      <w:smartTag w:uri="urn:schemas-microsoft-com:office:smarttags" w:element="metricconverter">
        <w:smartTagPr>
          <w:attr w:name="ProductID" w:val="5 cm"/>
        </w:smartTagPr>
        <w:r w:rsidRPr="00697DF2">
          <w:rPr>
            <w:sz w:val="20"/>
            <w:szCs w:val="20"/>
          </w:rPr>
          <w:t>5 cm</w:t>
        </w:r>
      </w:smartTag>
      <w:r w:rsidRPr="00697DF2">
        <w:rPr>
          <w:sz w:val="20"/>
          <w:szCs w:val="20"/>
        </w:rPr>
        <w:t xml:space="preserve"> od w/w połączenia na drenie czerpalnym powinien znajdować się plastikowy zacisk pozwalający na natychmiastowe przerwanie przepływu krwi. Dren czerpalny musi umożliwiać pobranie „pierwszej krwi” nierozcieńczonej antykoagulantem. Pojemnik do pobierania tzw. „Pierwszej Krwi” powinien mieć uniwersalny port w formie adaptera z centralnie umieszczoną igłą, zabezpieczoną w sposób uniemożliwiający samoistny wypływ krwi, umożliwiający pobranie próbek krwi dla probówek systemu zamkniętego.</w:t>
      </w:r>
    </w:p>
    <w:p w14:paraId="3B597150" w14:textId="77777777" w:rsidR="00957EA8" w:rsidRPr="00697DF2" w:rsidRDefault="00705641" w:rsidP="00697DF2">
      <w:pPr>
        <w:pStyle w:val="Akapitzlist"/>
        <w:numPr>
          <w:ilvl w:val="0"/>
          <w:numId w:val="5"/>
        </w:numPr>
        <w:autoSpaceDE w:val="0"/>
        <w:autoSpaceDN w:val="0"/>
        <w:adjustRightInd w:val="0"/>
        <w:jc w:val="both"/>
        <w:rPr>
          <w:b/>
          <w:bCs/>
          <w:sz w:val="20"/>
          <w:szCs w:val="20"/>
        </w:rPr>
      </w:pPr>
      <w:r w:rsidRPr="00697DF2">
        <w:rPr>
          <w:sz w:val="20"/>
          <w:szCs w:val="20"/>
        </w:rPr>
        <w:t>Wszystkie dreny muszą być elastyczne, umożliwiać łatwe rolowanie i zadziałanie zacisków wagomieszarek po pobraniu pełnej donacji oraz zacisków pras automatycznych, a także skuteczne wykonywanie zgrzewów na zgrzewarkach różnego typu.</w:t>
      </w:r>
      <w:r w:rsidR="003621E0" w:rsidRPr="00697DF2">
        <w:rPr>
          <w:sz w:val="20"/>
          <w:szCs w:val="20"/>
        </w:rPr>
        <w:t xml:space="preserve"> </w:t>
      </w:r>
    </w:p>
    <w:p w14:paraId="69E390A0" w14:textId="77777777" w:rsidR="00957EA8" w:rsidRPr="00697DF2" w:rsidRDefault="003621E0" w:rsidP="00697DF2">
      <w:pPr>
        <w:pStyle w:val="Akapitzlist"/>
        <w:numPr>
          <w:ilvl w:val="0"/>
          <w:numId w:val="5"/>
        </w:numPr>
        <w:autoSpaceDE w:val="0"/>
        <w:autoSpaceDN w:val="0"/>
        <w:adjustRightInd w:val="0"/>
        <w:jc w:val="both"/>
        <w:rPr>
          <w:b/>
          <w:bCs/>
          <w:sz w:val="20"/>
          <w:szCs w:val="20"/>
        </w:rPr>
      </w:pPr>
      <w:r w:rsidRPr="00697DF2">
        <w:rPr>
          <w:sz w:val="20"/>
          <w:szCs w:val="20"/>
        </w:rPr>
        <w:t xml:space="preserve">Dren łączący pojemnik macierzysty z pustym transferowym na </w:t>
      </w:r>
      <w:r w:rsidRPr="00697DF2">
        <w:rPr>
          <w:bCs/>
          <w:sz w:val="20"/>
          <w:szCs w:val="20"/>
        </w:rPr>
        <w:t>FFP</w:t>
      </w:r>
      <w:r w:rsidRPr="00697DF2">
        <w:rPr>
          <w:b/>
          <w:bCs/>
          <w:sz w:val="20"/>
          <w:szCs w:val="20"/>
        </w:rPr>
        <w:t xml:space="preserve"> </w:t>
      </w:r>
      <w:r w:rsidRPr="00697DF2">
        <w:rPr>
          <w:sz w:val="20"/>
          <w:szCs w:val="20"/>
        </w:rPr>
        <w:t xml:space="preserve">musi umożliwiać preparatykę na </w:t>
      </w:r>
      <w:r w:rsidR="00C57BF3" w:rsidRPr="00697DF2">
        <w:rPr>
          <w:sz w:val="20"/>
          <w:szCs w:val="20"/>
        </w:rPr>
        <w:t xml:space="preserve">posiadanych </w:t>
      </w:r>
      <w:r w:rsidRPr="00697DF2">
        <w:rPr>
          <w:sz w:val="20"/>
          <w:szCs w:val="20"/>
        </w:rPr>
        <w:t xml:space="preserve">prasach automatycznych </w:t>
      </w:r>
      <w:r w:rsidR="00C57BF3" w:rsidRPr="00697DF2">
        <w:rPr>
          <w:sz w:val="20"/>
          <w:szCs w:val="20"/>
        </w:rPr>
        <w:t xml:space="preserve">Compomat G5 Plus </w:t>
      </w:r>
      <w:r w:rsidRPr="00697DF2">
        <w:rPr>
          <w:sz w:val="20"/>
          <w:szCs w:val="20"/>
        </w:rPr>
        <w:t xml:space="preserve">(wg opinii zamawiającego powinien mieć długość min. </w:t>
      </w:r>
      <w:smartTag w:uri="urn:schemas-microsoft-com:office:smarttags" w:element="metricconverter">
        <w:smartTagPr>
          <w:attr w:name="ProductID" w:val="53 cm"/>
        </w:smartTagPr>
        <w:r w:rsidRPr="00697DF2">
          <w:rPr>
            <w:sz w:val="20"/>
            <w:szCs w:val="20"/>
          </w:rPr>
          <w:t>53 cm</w:t>
        </w:r>
      </w:smartTag>
      <w:r w:rsidRPr="00697DF2">
        <w:rPr>
          <w:sz w:val="20"/>
          <w:szCs w:val="20"/>
        </w:rPr>
        <w:t>).</w:t>
      </w:r>
      <w:r w:rsidRPr="00697DF2">
        <w:rPr>
          <w:b/>
          <w:bCs/>
          <w:sz w:val="20"/>
          <w:szCs w:val="20"/>
        </w:rPr>
        <w:t xml:space="preserve"> </w:t>
      </w:r>
      <w:r w:rsidRPr="00697DF2">
        <w:rPr>
          <w:sz w:val="20"/>
          <w:szCs w:val="20"/>
        </w:rPr>
        <w:t xml:space="preserve">Dodatkowy dren przy pojemniku transferowym na </w:t>
      </w:r>
      <w:r w:rsidRPr="00697DF2">
        <w:rPr>
          <w:bCs/>
          <w:sz w:val="20"/>
          <w:szCs w:val="20"/>
        </w:rPr>
        <w:t>KKCz</w:t>
      </w:r>
      <w:r w:rsidRPr="00697DF2">
        <w:rPr>
          <w:b/>
          <w:bCs/>
          <w:sz w:val="20"/>
          <w:szCs w:val="20"/>
        </w:rPr>
        <w:t xml:space="preserve"> </w:t>
      </w:r>
      <w:r w:rsidR="0058544B" w:rsidRPr="00697DF2">
        <w:rPr>
          <w:sz w:val="20"/>
          <w:szCs w:val="20"/>
        </w:rPr>
        <w:t>musi umożliwiać wykonanie min. 4</w:t>
      </w:r>
      <w:r w:rsidRPr="00697DF2">
        <w:rPr>
          <w:sz w:val="20"/>
          <w:szCs w:val="20"/>
        </w:rPr>
        <w:t xml:space="preserve"> pilotek</w:t>
      </w:r>
      <w:r w:rsidR="0058544B" w:rsidRPr="00697DF2">
        <w:rPr>
          <w:sz w:val="20"/>
          <w:szCs w:val="20"/>
        </w:rPr>
        <w:t xml:space="preserve"> o długości min. 10 cm każda.</w:t>
      </w:r>
    </w:p>
    <w:p w14:paraId="4811D7E7" w14:textId="7A3DF4E2" w:rsidR="00957EA8" w:rsidRPr="00697DF2" w:rsidRDefault="003621E0" w:rsidP="00697DF2">
      <w:pPr>
        <w:pStyle w:val="Akapitzlist"/>
        <w:numPr>
          <w:ilvl w:val="0"/>
          <w:numId w:val="5"/>
        </w:numPr>
        <w:autoSpaceDE w:val="0"/>
        <w:autoSpaceDN w:val="0"/>
        <w:adjustRightInd w:val="0"/>
        <w:jc w:val="both"/>
        <w:rPr>
          <w:b/>
          <w:bCs/>
          <w:sz w:val="20"/>
          <w:szCs w:val="20"/>
        </w:rPr>
      </w:pPr>
      <w:r w:rsidRPr="00697DF2">
        <w:rPr>
          <w:sz w:val="20"/>
          <w:szCs w:val="20"/>
        </w:rPr>
        <w:t xml:space="preserve">Pojemnik transferowy do przechowywania osocza powinien zapewniać możliwość zamrażania </w:t>
      </w:r>
      <w:r w:rsidR="003A0DA8" w:rsidRPr="00697DF2">
        <w:rPr>
          <w:sz w:val="20"/>
          <w:szCs w:val="20"/>
        </w:rPr>
        <w:t>szokowego w temperaturze poniżej - 35</w:t>
      </w:r>
      <w:r w:rsidRPr="00697DF2">
        <w:rPr>
          <w:sz w:val="20"/>
          <w:szCs w:val="20"/>
        </w:rPr>
        <w:t>°C i bezpiecznego przechowywania osocza w temperat</w:t>
      </w:r>
      <w:r w:rsidR="003A0DA8" w:rsidRPr="00697DF2">
        <w:rPr>
          <w:sz w:val="20"/>
          <w:szCs w:val="20"/>
        </w:rPr>
        <w:t>urze od</w:t>
      </w:r>
      <w:r w:rsidRPr="00697DF2">
        <w:rPr>
          <w:sz w:val="20"/>
          <w:szCs w:val="20"/>
        </w:rPr>
        <w:t xml:space="preserve"> </w:t>
      </w:r>
      <w:smartTag w:uri="urn:schemas-microsoft-com:office:smarttags" w:element="metricconverter">
        <w:smartTagPr>
          <w:attr w:name="ProductID" w:val="-25 ﾰC"/>
        </w:smartTagPr>
        <w:r w:rsidRPr="00697DF2">
          <w:rPr>
            <w:sz w:val="20"/>
            <w:szCs w:val="20"/>
          </w:rPr>
          <w:t>-25 °C</w:t>
        </w:r>
      </w:smartTag>
      <w:r w:rsidR="003A0DA8" w:rsidRPr="00697DF2">
        <w:rPr>
          <w:sz w:val="20"/>
          <w:szCs w:val="20"/>
        </w:rPr>
        <w:t xml:space="preserve"> </w:t>
      </w:r>
      <w:r w:rsidRPr="00697DF2">
        <w:rPr>
          <w:sz w:val="20"/>
          <w:szCs w:val="20"/>
        </w:rPr>
        <w:t>do –90</w:t>
      </w:r>
      <w:r w:rsidRPr="00697DF2">
        <w:rPr>
          <w:sz w:val="20"/>
          <w:szCs w:val="20"/>
          <w:vertAlign w:val="superscript"/>
        </w:rPr>
        <w:t>0</w:t>
      </w:r>
      <w:r w:rsidR="003A0DA8" w:rsidRPr="00697DF2">
        <w:rPr>
          <w:sz w:val="20"/>
          <w:szCs w:val="20"/>
        </w:rPr>
        <w:t>C</w:t>
      </w:r>
      <w:r w:rsidRPr="00697DF2">
        <w:rPr>
          <w:sz w:val="20"/>
          <w:szCs w:val="20"/>
        </w:rPr>
        <w:t xml:space="preserve"> z zachowaniem elastyczności </w:t>
      </w:r>
      <w:r w:rsidR="00A31CDF" w:rsidRPr="00697DF2">
        <w:rPr>
          <w:sz w:val="20"/>
          <w:szCs w:val="20"/>
        </w:rPr>
        <w:br/>
      </w:r>
      <w:r w:rsidRPr="00697DF2">
        <w:rPr>
          <w:sz w:val="20"/>
          <w:szCs w:val="20"/>
        </w:rPr>
        <w:t>i jałowości pojemnika.</w:t>
      </w:r>
    </w:p>
    <w:p w14:paraId="5408C611" w14:textId="77777777" w:rsidR="00957EA8" w:rsidRPr="00697DF2" w:rsidRDefault="003621E0" w:rsidP="00697DF2">
      <w:pPr>
        <w:pStyle w:val="Akapitzlist"/>
        <w:numPr>
          <w:ilvl w:val="0"/>
          <w:numId w:val="5"/>
        </w:numPr>
        <w:autoSpaceDE w:val="0"/>
        <w:autoSpaceDN w:val="0"/>
        <w:adjustRightInd w:val="0"/>
        <w:jc w:val="both"/>
        <w:rPr>
          <w:b/>
          <w:bCs/>
          <w:sz w:val="20"/>
          <w:szCs w:val="20"/>
        </w:rPr>
      </w:pPr>
      <w:r w:rsidRPr="00697DF2">
        <w:rPr>
          <w:sz w:val="20"/>
          <w:szCs w:val="20"/>
        </w:rPr>
        <w:t>Pojemniki muszą być odporne na wirowanie z przyspieszeniem min. 5000xg (w czasie min. 10 minut) przy objętości pobrania krwi 450 ml ± 10 %.</w:t>
      </w:r>
    </w:p>
    <w:p w14:paraId="5F65088C" w14:textId="77777777" w:rsidR="00957EA8" w:rsidRPr="00697DF2" w:rsidRDefault="00705641" w:rsidP="00697DF2">
      <w:pPr>
        <w:pStyle w:val="Akapitzlist"/>
        <w:numPr>
          <w:ilvl w:val="0"/>
          <w:numId w:val="5"/>
        </w:numPr>
        <w:autoSpaceDE w:val="0"/>
        <w:autoSpaceDN w:val="0"/>
        <w:adjustRightInd w:val="0"/>
        <w:jc w:val="both"/>
        <w:rPr>
          <w:b/>
          <w:bCs/>
          <w:sz w:val="20"/>
          <w:szCs w:val="20"/>
        </w:rPr>
      </w:pPr>
      <w:r w:rsidRPr="00697DF2">
        <w:rPr>
          <w:sz w:val="20"/>
          <w:szCs w:val="20"/>
        </w:rPr>
        <w:t>Materiał, z którego wykonany jest pojemnik główny i pojemniki transferowe musi być przejrzysty, umożliwiać wizualną ocenę płynu znajdującego się w pojemniku (w szczególności wykrycie zmętnień, oraz musi być przepuszczalny dla promieniowania IR stosowanego w optycznych detektorach używanych pras).</w:t>
      </w:r>
      <w:r w:rsidR="00DC4985" w:rsidRPr="00697DF2">
        <w:rPr>
          <w:sz w:val="20"/>
          <w:szCs w:val="20"/>
        </w:rPr>
        <w:t xml:space="preserve"> </w:t>
      </w:r>
      <w:r w:rsidR="00DC4985" w:rsidRPr="00697DF2">
        <w:rPr>
          <w:bCs/>
          <w:sz w:val="20"/>
          <w:szCs w:val="20"/>
        </w:rPr>
        <w:t xml:space="preserve">Tworzywo pojemników </w:t>
      </w:r>
      <w:r w:rsidR="00C57BF3" w:rsidRPr="00697DF2">
        <w:rPr>
          <w:bCs/>
          <w:sz w:val="20"/>
          <w:szCs w:val="20"/>
        </w:rPr>
        <w:t xml:space="preserve">musi być </w:t>
      </w:r>
      <w:r w:rsidR="00DC4985" w:rsidRPr="00697DF2">
        <w:rPr>
          <w:bCs/>
          <w:sz w:val="20"/>
          <w:szCs w:val="20"/>
        </w:rPr>
        <w:t>zgodn</w:t>
      </w:r>
      <w:r w:rsidR="00C57BF3" w:rsidRPr="00697DF2">
        <w:rPr>
          <w:bCs/>
          <w:sz w:val="20"/>
          <w:szCs w:val="20"/>
        </w:rPr>
        <w:t>e</w:t>
      </w:r>
      <w:r w:rsidR="00DC4985" w:rsidRPr="00697DF2">
        <w:rPr>
          <w:bCs/>
          <w:sz w:val="20"/>
          <w:szCs w:val="20"/>
        </w:rPr>
        <w:t xml:space="preserve"> z</w:t>
      </w:r>
      <w:r w:rsidR="00C57BF3" w:rsidRPr="00697DF2">
        <w:rPr>
          <w:bCs/>
          <w:sz w:val="20"/>
          <w:szCs w:val="20"/>
        </w:rPr>
        <w:t xml:space="preserve"> obowiązującymi</w:t>
      </w:r>
      <w:r w:rsidR="00DC4985" w:rsidRPr="00697DF2">
        <w:rPr>
          <w:bCs/>
          <w:sz w:val="20"/>
          <w:szCs w:val="20"/>
        </w:rPr>
        <w:t xml:space="preserve"> zapisami w Farmakopei Europejskiej.</w:t>
      </w:r>
    </w:p>
    <w:p w14:paraId="761F52DC" w14:textId="35E86ADA" w:rsidR="00957EA8" w:rsidRPr="00697DF2" w:rsidRDefault="003A0DA8" w:rsidP="00697DF2">
      <w:pPr>
        <w:pStyle w:val="Akapitzlist"/>
        <w:numPr>
          <w:ilvl w:val="0"/>
          <w:numId w:val="5"/>
        </w:numPr>
        <w:autoSpaceDE w:val="0"/>
        <w:autoSpaceDN w:val="0"/>
        <w:adjustRightInd w:val="0"/>
        <w:jc w:val="both"/>
        <w:rPr>
          <w:b/>
          <w:bCs/>
          <w:sz w:val="20"/>
          <w:szCs w:val="20"/>
        </w:rPr>
      </w:pPr>
      <w:r w:rsidRPr="00697DF2">
        <w:rPr>
          <w:sz w:val="20"/>
          <w:szCs w:val="20"/>
        </w:rPr>
        <w:t xml:space="preserve">Pojemniki transferowe powinny zawierać co najmniej 2 porty zabezpieczone błoną od wewnątrz oraz odpowiednią ochroną </w:t>
      </w:r>
      <w:r w:rsidR="00A31CDF" w:rsidRPr="00697DF2">
        <w:rPr>
          <w:sz w:val="20"/>
          <w:szCs w:val="20"/>
        </w:rPr>
        <w:br/>
      </w:r>
      <w:r w:rsidRPr="00697DF2">
        <w:rPr>
          <w:sz w:val="20"/>
          <w:szCs w:val="20"/>
        </w:rPr>
        <w:t>z zewnątrz zapewniającą jałowość, umożliwiające łatwy dostęp do podłączenia zestawu do przetoczenia.</w:t>
      </w:r>
    </w:p>
    <w:p w14:paraId="6F58EDE7" w14:textId="305804A3" w:rsidR="00957EA8" w:rsidRPr="00697DF2" w:rsidRDefault="003A0DA8" w:rsidP="00697DF2">
      <w:pPr>
        <w:pStyle w:val="Akapitzlist"/>
        <w:numPr>
          <w:ilvl w:val="0"/>
          <w:numId w:val="5"/>
        </w:numPr>
        <w:autoSpaceDE w:val="0"/>
        <w:autoSpaceDN w:val="0"/>
        <w:adjustRightInd w:val="0"/>
        <w:jc w:val="both"/>
        <w:rPr>
          <w:b/>
          <w:bCs/>
          <w:sz w:val="20"/>
          <w:szCs w:val="20"/>
        </w:rPr>
      </w:pPr>
      <w:r w:rsidRPr="00697DF2">
        <w:rPr>
          <w:sz w:val="20"/>
          <w:szCs w:val="20"/>
        </w:rPr>
        <w:t xml:space="preserve">Pojemnik główny u wyjścia drenu prowadzącego do górnego pojemnika transferowego pustego i pojemnik dolny na KKCz </w:t>
      </w:r>
      <w:r w:rsidR="00A31CDF" w:rsidRPr="00697DF2">
        <w:rPr>
          <w:sz w:val="20"/>
          <w:szCs w:val="20"/>
        </w:rPr>
        <w:br/>
      </w:r>
      <w:r w:rsidRPr="00697DF2">
        <w:rPr>
          <w:sz w:val="20"/>
          <w:szCs w:val="20"/>
        </w:rPr>
        <w:t xml:space="preserve">u wyjścia drenu łączącego go z pojemnikiem głównym, powinny mieć kominy z membraną </w:t>
      </w:r>
      <w:r w:rsidR="00C57BF3" w:rsidRPr="00697DF2">
        <w:rPr>
          <w:sz w:val="20"/>
          <w:szCs w:val="20"/>
        </w:rPr>
        <w:t xml:space="preserve">umożliwiającą automatyczne otwierania </w:t>
      </w:r>
      <w:r w:rsidRPr="00697DF2">
        <w:rPr>
          <w:sz w:val="20"/>
          <w:szCs w:val="20"/>
        </w:rPr>
        <w:t>w czasie preparatyki</w:t>
      </w:r>
      <w:r w:rsidR="00C57BF3" w:rsidRPr="00697DF2">
        <w:rPr>
          <w:sz w:val="20"/>
          <w:szCs w:val="20"/>
        </w:rPr>
        <w:t xml:space="preserve"> na</w:t>
      </w:r>
      <w:r w:rsidR="00121F37" w:rsidRPr="00697DF2">
        <w:rPr>
          <w:sz w:val="20"/>
          <w:szCs w:val="20"/>
        </w:rPr>
        <w:t xml:space="preserve"> posiadanych przez Zamawiającego prasach Compomat G5 Plus</w:t>
      </w:r>
      <w:r w:rsidR="00A50B7B" w:rsidRPr="00697DF2">
        <w:rPr>
          <w:sz w:val="20"/>
          <w:szCs w:val="20"/>
        </w:rPr>
        <w:t xml:space="preserve">, </w:t>
      </w:r>
      <w:r w:rsidR="00C57BF3" w:rsidRPr="00697DF2">
        <w:rPr>
          <w:sz w:val="20"/>
          <w:szCs w:val="20"/>
        </w:rPr>
        <w:t>wyposażonych w „otwieracze” kaniul dedykowanych do otwierania manualnego (ręcznego) oraz „otwieracze” kaniul typu Compoflow dedykowanych do otwierania automatycznego,</w:t>
      </w:r>
      <w:r w:rsidR="00957EA8" w:rsidRPr="00697DF2">
        <w:rPr>
          <w:sz w:val="20"/>
          <w:szCs w:val="20"/>
        </w:rPr>
        <w:t xml:space="preserve"> </w:t>
      </w:r>
      <w:r w:rsidR="00A50B7B" w:rsidRPr="00697DF2">
        <w:rPr>
          <w:sz w:val="20"/>
          <w:szCs w:val="20"/>
        </w:rPr>
        <w:t>bez negatywnego wpływu na jakość otrzymanych składników krwi.</w:t>
      </w:r>
      <w:r w:rsidR="00121F37" w:rsidRPr="00697DF2">
        <w:rPr>
          <w:sz w:val="20"/>
          <w:szCs w:val="20"/>
        </w:rPr>
        <w:t xml:space="preserve"> </w:t>
      </w:r>
    </w:p>
    <w:p w14:paraId="60E5087B" w14:textId="3BB6BA15" w:rsidR="00957EA8" w:rsidRPr="00697DF2" w:rsidRDefault="003A0DA8" w:rsidP="00697DF2">
      <w:pPr>
        <w:pStyle w:val="Akapitzlist"/>
        <w:numPr>
          <w:ilvl w:val="0"/>
          <w:numId w:val="5"/>
        </w:numPr>
        <w:autoSpaceDE w:val="0"/>
        <w:autoSpaceDN w:val="0"/>
        <w:adjustRightInd w:val="0"/>
        <w:jc w:val="both"/>
        <w:rPr>
          <w:b/>
          <w:bCs/>
          <w:sz w:val="20"/>
          <w:szCs w:val="20"/>
        </w:rPr>
      </w:pPr>
      <w:r w:rsidRPr="00697DF2">
        <w:rPr>
          <w:sz w:val="20"/>
          <w:szCs w:val="20"/>
        </w:rPr>
        <w:t xml:space="preserve">Na górnej krawędzi pojemnika głównego, symetrycznie po dwóch stronach komina ujścia drenu łączącego pojemnik główny </w:t>
      </w:r>
      <w:r w:rsidR="00A31CDF" w:rsidRPr="00697DF2">
        <w:rPr>
          <w:sz w:val="20"/>
          <w:szCs w:val="20"/>
        </w:rPr>
        <w:br/>
      </w:r>
      <w:r w:rsidRPr="00697DF2">
        <w:rPr>
          <w:sz w:val="20"/>
          <w:szCs w:val="20"/>
        </w:rPr>
        <w:t>z pustym pojemnikiem na osocze powinny znajdować się dwa otwory umożliwiające zawieszenie pojemnika na haczykach prasy automatycznej.</w:t>
      </w:r>
    </w:p>
    <w:p w14:paraId="785AB757" w14:textId="77777777" w:rsidR="00957EA8" w:rsidRPr="00697DF2" w:rsidRDefault="003A0DA8" w:rsidP="00697DF2">
      <w:pPr>
        <w:pStyle w:val="Akapitzlist"/>
        <w:numPr>
          <w:ilvl w:val="0"/>
          <w:numId w:val="5"/>
        </w:numPr>
        <w:autoSpaceDE w:val="0"/>
        <w:autoSpaceDN w:val="0"/>
        <w:adjustRightInd w:val="0"/>
        <w:jc w:val="both"/>
        <w:rPr>
          <w:b/>
          <w:bCs/>
          <w:sz w:val="20"/>
          <w:szCs w:val="20"/>
        </w:rPr>
      </w:pPr>
      <w:r w:rsidRPr="00697DF2">
        <w:rPr>
          <w:sz w:val="20"/>
          <w:szCs w:val="20"/>
        </w:rPr>
        <w:lastRenderedPageBreak/>
        <w:t>Na dolnej krawędzi pojemnika pustego na osocze i pojemnika na KKCz / RW, centralnie i na bocznych krawędziach powinno znajdować się podłużne nacięcie materiału pojemnika, umożliwiające zawieszanie pojemników na haczykach statywów transfuzyjnych.</w:t>
      </w:r>
    </w:p>
    <w:p w14:paraId="020366CA" w14:textId="04179398" w:rsidR="00957EA8" w:rsidRPr="00697DF2" w:rsidRDefault="00705641" w:rsidP="00697DF2">
      <w:pPr>
        <w:pStyle w:val="Akapitzlist"/>
        <w:numPr>
          <w:ilvl w:val="0"/>
          <w:numId w:val="5"/>
        </w:numPr>
        <w:autoSpaceDE w:val="0"/>
        <w:autoSpaceDN w:val="0"/>
        <w:adjustRightInd w:val="0"/>
        <w:jc w:val="both"/>
        <w:rPr>
          <w:b/>
          <w:bCs/>
          <w:sz w:val="20"/>
          <w:szCs w:val="20"/>
        </w:rPr>
      </w:pPr>
      <w:r w:rsidRPr="00697DF2">
        <w:rPr>
          <w:color w:val="000000"/>
          <w:sz w:val="20"/>
          <w:szCs w:val="20"/>
        </w:rPr>
        <w:t xml:space="preserve">Pojedyncze pojemniki/zestawy do pobierania krwi muszą być zamknięte w opakowaniach zabezpieczających- w jednym opakowaniu może być tylko jeden zestaw/ pojemniki.   Opakowanie zabezpieczające ma zapewnić zachowanie jałowości </w:t>
      </w:r>
      <w:r w:rsidR="00697DF2">
        <w:rPr>
          <w:color w:val="000000"/>
          <w:sz w:val="20"/>
          <w:szCs w:val="20"/>
        </w:rPr>
        <w:br/>
      </w:r>
      <w:r w:rsidRPr="00697DF2">
        <w:rPr>
          <w:color w:val="000000"/>
          <w:sz w:val="20"/>
          <w:szCs w:val="20"/>
        </w:rPr>
        <w:t xml:space="preserve">i apyrogenności pojemników/ zestawów oraz odpowiednią wilgotność w czasie przechowywania. Pojemniki/ zestawy </w:t>
      </w:r>
      <w:r w:rsidR="00697DF2">
        <w:rPr>
          <w:color w:val="000000"/>
          <w:sz w:val="20"/>
          <w:szCs w:val="20"/>
        </w:rPr>
        <w:br/>
      </w:r>
      <w:r w:rsidRPr="00697DF2">
        <w:rPr>
          <w:color w:val="000000"/>
          <w:sz w:val="20"/>
          <w:szCs w:val="20"/>
        </w:rPr>
        <w:t xml:space="preserve">w opakowaniach zabezpieczających muszą być zapakowane w odporne na uszkodzenia opakowania zbiorcze. </w:t>
      </w:r>
      <w:r w:rsidRPr="00697DF2">
        <w:rPr>
          <w:sz w:val="20"/>
          <w:szCs w:val="20"/>
        </w:rPr>
        <w:t>Opakowanie zbiorcze może zawierać zestawy tylko jednej serii. Opakowanie zbiorcze musi być oznakowane etykietą zawierająca minimum następujące dane: nazwa producenta, nazwa pojemników, numer serii, data ważności, informacje o warunkach przechowywania - magazynowania pojemników. Wymagana temperatura przecho</w:t>
      </w:r>
      <w:r w:rsidR="00092468" w:rsidRPr="00697DF2">
        <w:rPr>
          <w:sz w:val="20"/>
          <w:szCs w:val="20"/>
        </w:rPr>
        <w:t>wywania kartonów z pojemnikami od 0º</w:t>
      </w:r>
      <w:r w:rsidRPr="00697DF2">
        <w:rPr>
          <w:sz w:val="20"/>
          <w:szCs w:val="20"/>
        </w:rPr>
        <w:t xml:space="preserve">C </w:t>
      </w:r>
      <w:r w:rsidR="00092468" w:rsidRPr="00697DF2">
        <w:rPr>
          <w:sz w:val="20"/>
          <w:szCs w:val="20"/>
        </w:rPr>
        <w:t>do +</w:t>
      </w:r>
      <w:r w:rsidR="00C57BF3" w:rsidRPr="00697DF2">
        <w:rPr>
          <w:sz w:val="20"/>
          <w:szCs w:val="20"/>
        </w:rPr>
        <w:t>2</w:t>
      </w:r>
      <w:r w:rsidR="00092468" w:rsidRPr="00697DF2">
        <w:rPr>
          <w:sz w:val="20"/>
          <w:szCs w:val="20"/>
        </w:rPr>
        <w:t>5º</w:t>
      </w:r>
      <w:r w:rsidRPr="00697DF2">
        <w:rPr>
          <w:sz w:val="20"/>
          <w:szCs w:val="20"/>
        </w:rPr>
        <w:t>C.</w:t>
      </w:r>
    </w:p>
    <w:p w14:paraId="1888CC60" w14:textId="2278400D" w:rsidR="00957EA8" w:rsidRPr="00697DF2" w:rsidRDefault="00705641" w:rsidP="00697DF2">
      <w:pPr>
        <w:pStyle w:val="Akapitzlist"/>
        <w:numPr>
          <w:ilvl w:val="0"/>
          <w:numId w:val="5"/>
        </w:numPr>
        <w:autoSpaceDE w:val="0"/>
        <w:autoSpaceDN w:val="0"/>
        <w:adjustRightInd w:val="0"/>
        <w:jc w:val="both"/>
        <w:rPr>
          <w:b/>
          <w:bCs/>
          <w:sz w:val="20"/>
          <w:szCs w:val="20"/>
        </w:rPr>
      </w:pPr>
      <w:r w:rsidRPr="00697DF2">
        <w:rPr>
          <w:sz w:val="20"/>
          <w:szCs w:val="20"/>
        </w:rPr>
        <w:t xml:space="preserve">Na wszystkich pojemnikach muszą być trwale umocowane etykiety, które nie mogą ulegać uszkodzeniom ani odklejeniu </w:t>
      </w:r>
      <w:r w:rsidR="00A31CDF" w:rsidRPr="00697DF2">
        <w:rPr>
          <w:sz w:val="20"/>
          <w:szCs w:val="20"/>
        </w:rPr>
        <w:br/>
      </w:r>
      <w:r w:rsidRPr="00697DF2">
        <w:rPr>
          <w:sz w:val="20"/>
          <w:szCs w:val="20"/>
        </w:rPr>
        <w:t xml:space="preserve">w czasie preparatyki i przechowywania. </w:t>
      </w:r>
      <w:r w:rsidR="003621E0" w:rsidRPr="00697DF2">
        <w:rPr>
          <w:sz w:val="20"/>
          <w:szCs w:val="20"/>
        </w:rPr>
        <w:t>Etykieta robocza powinna mieć wymiary umożliwiające przyklejanie na nich etykiety głównej o wymiarach 101</w:t>
      </w:r>
      <w:r w:rsidR="00A50B7B" w:rsidRPr="00697DF2">
        <w:rPr>
          <w:sz w:val="20"/>
          <w:szCs w:val="20"/>
        </w:rPr>
        <w:t>,</w:t>
      </w:r>
      <w:r w:rsidR="003621E0" w:rsidRPr="00697DF2">
        <w:rPr>
          <w:sz w:val="20"/>
          <w:szCs w:val="20"/>
        </w:rPr>
        <w:t xml:space="preserve">6 </w:t>
      </w:r>
      <w:r w:rsidR="00A50B7B" w:rsidRPr="00697DF2">
        <w:rPr>
          <w:sz w:val="20"/>
          <w:szCs w:val="20"/>
        </w:rPr>
        <w:t>m</w:t>
      </w:r>
      <w:r w:rsidR="003621E0" w:rsidRPr="00697DF2">
        <w:rPr>
          <w:sz w:val="20"/>
          <w:szCs w:val="20"/>
        </w:rPr>
        <w:t>m x 101</w:t>
      </w:r>
      <w:r w:rsidR="00A50B7B" w:rsidRPr="00697DF2">
        <w:rPr>
          <w:sz w:val="20"/>
          <w:szCs w:val="20"/>
        </w:rPr>
        <w:t>,</w:t>
      </w:r>
      <w:r w:rsidR="003621E0" w:rsidRPr="00697DF2">
        <w:rPr>
          <w:sz w:val="20"/>
          <w:szCs w:val="20"/>
        </w:rPr>
        <w:t xml:space="preserve">6 </w:t>
      </w:r>
      <w:r w:rsidR="00A50B7B" w:rsidRPr="00697DF2">
        <w:rPr>
          <w:sz w:val="20"/>
          <w:szCs w:val="20"/>
        </w:rPr>
        <w:t>m</w:t>
      </w:r>
      <w:r w:rsidR="003621E0" w:rsidRPr="00697DF2">
        <w:rPr>
          <w:sz w:val="20"/>
          <w:szCs w:val="20"/>
        </w:rPr>
        <w:t>m, zgodnej z wymaganiami ISBT 128 (międzynarodowy standard oznakowania krwi i jej składników).</w:t>
      </w:r>
    </w:p>
    <w:p w14:paraId="52677282" w14:textId="26B8BF1F" w:rsidR="00705641" w:rsidRPr="00697DF2" w:rsidRDefault="00705641" w:rsidP="00697DF2">
      <w:pPr>
        <w:pStyle w:val="Akapitzlist"/>
        <w:numPr>
          <w:ilvl w:val="0"/>
          <w:numId w:val="5"/>
        </w:numPr>
        <w:autoSpaceDE w:val="0"/>
        <w:autoSpaceDN w:val="0"/>
        <w:adjustRightInd w:val="0"/>
        <w:jc w:val="both"/>
        <w:rPr>
          <w:b/>
          <w:bCs/>
          <w:sz w:val="20"/>
          <w:szCs w:val="20"/>
        </w:rPr>
      </w:pPr>
      <w:r w:rsidRPr="00697DF2">
        <w:rPr>
          <w:sz w:val="20"/>
          <w:szCs w:val="20"/>
        </w:rPr>
        <w:t>Etykieta macierzysta musi posiadać znak CE oraz kody kreskowe</w:t>
      </w:r>
      <w:r w:rsidR="007E7A00" w:rsidRPr="00697DF2">
        <w:rPr>
          <w:sz w:val="20"/>
          <w:szCs w:val="20"/>
        </w:rPr>
        <w:t xml:space="preserve"> odpowiadające wymogom standardów </w:t>
      </w:r>
      <w:r w:rsidRPr="00697DF2">
        <w:rPr>
          <w:sz w:val="20"/>
          <w:szCs w:val="20"/>
        </w:rPr>
        <w:t xml:space="preserve"> EAN </w:t>
      </w:r>
      <w:r w:rsidR="007E7A00" w:rsidRPr="00697DF2">
        <w:rPr>
          <w:sz w:val="20"/>
          <w:szCs w:val="20"/>
        </w:rPr>
        <w:t>–</w:t>
      </w:r>
      <w:r w:rsidRPr="00697DF2">
        <w:rPr>
          <w:sz w:val="20"/>
          <w:szCs w:val="20"/>
        </w:rPr>
        <w:t xml:space="preserve"> 128</w:t>
      </w:r>
      <w:r w:rsidR="007E7A00" w:rsidRPr="00697DF2">
        <w:rPr>
          <w:sz w:val="20"/>
          <w:szCs w:val="20"/>
        </w:rPr>
        <w:t xml:space="preserve"> lub ISBT-128</w:t>
      </w:r>
      <w:r w:rsidRPr="00697DF2">
        <w:rPr>
          <w:sz w:val="20"/>
          <w:szCs w:val="20"/>
        </w:rPr>
        <w:t>. Etykiety muszą mieć również wersję polską napisów i zawierać:</w:t>
      </w:r>
    </w:p>
    <w:p w14:paraId="154AAD3F" w14:textId="2880BBB1" w:rsidR="00957EA8" w:rsidRPr="00697DF2" w:rsidRDefault="00957EA8" w:rsidP="00697DF2">
      <w:pPr>
        <w:pStyle w:val="Akapitzlist"/>
        <w:numPr>
          <w:ilvl w:val="0"/>
          <w:numId w:val="6"/>
        </w:numPr>
        <w:autoSpaceDE w:val="0"/>
        <w:autoSpaceDN w:val="0"/>
        <w:adjustRightInd w:val="0"/>
        <w:jc w:val="both"/>
        <w:rPr>
          <w:sz w:val="20"/>
          <w:szCs w:val="20"/>
        </w:rPr>
      </w:pPr>
      <w:r w:rsidRPr="00697DF2">
        <w:rPr>
          <w:sz w:val="20"/>
          <w:szCs w:val="20"/>
        </w:rPr>
        <w:t>n</w:t>
      </w:r>
      <w:r w:rsidR="00705641" w:rsidRPr="00697DF2">
        <w:rPr>
          <w:sz w:val="20"/>
          <w:szCs w:val="20"/>
        </w:rPr>
        <w:t>azwę firmy i nazwę pojemnika (pojemność)</w:t>
      </w:r>
      <w:r w:rsidRPr="00697DF2">
        <w:rPr>
          <w:sz w:val="20"/>
          <w:szCs w:val="20"/>
        </w:rPr>
        <w:t>;</w:t>
      </w:r>
    </w:p>
    <w:p w14:paraId="5C023FEF" w14:textId="77777777" w:rsidR="00957EA8" w:rsidRPr="00697DF2" w:rsidRDefault="00957EA8" w:rsidP="00697DF2">
      <w:pPr>
        <w:pStyle w:val="Akapitzlist"/>
        <w:numPr>
          <w:ilvl w:val="0"/>
          <w:numId w:val="6"/>
        </w:numPr>
        <w:autoSpaceDE w:val="0"/>
        <w:autoSpaceDN w:val="0"/>
        <w:adjustRightInd w:val="0"/>
        <w:jc w:val="both"/>
        <w:rPr>
          <w:sz w:val="20"/>
          <w:szCs w:val="20"/>
        </w:rPr>
      </w:pPr>
      <w:r w:rsidRPr="00697DF2">
        <w:rPr>
          <w:sz w:val="20"/>
          <w:szCs w:val="20"/>
        </w:rPr>
        <w:t>i</w:t>
      </w:r>
      <w:r w:rsidR="00705641" w:rsidRPr="00697DF2">
        <w:rPr>
          <w:sz w:val="20"/>
          <w:szCs w:val="20"/>
        </w:rPr>
        <w:t>nformację o przeznaczeniu pojemnika oraz rodzaju płynu konserwującego i RW</w:t>
      </w:r>
      <w:r w:rsidRPr="00697DF2">
        <w:rPr>
          <w:sz w:val="20"/>
          <w:szCs w:val="20"/>
        </w:rPr>
        <w:t>;</w:t>
      </w:r>
    </w:p>
    <w:p w14:paraId="00C23ED3" w14:textId="77777777" w:rsidR="00957EA8" w:rsidRPr="00697DF2" w:rsidRDefault="00957EA8" w:rsidP="00697DF2">
      <w:pPr>
        <w:pStyle w:val="Akapitzlist"/>
        <w:numPr>
          <w:ilvl w:val="0"/>
          <w:numId w:val="6"/>
        </w:numPr>
        <w:autoSpaceDE w:val="0"/>
        <w:autoSpaceDN w:val="0"/>
        <w:adjustRightInd w:val="0"/>
        <w:jc w:val="both"/>
        <w:rPr>
          <w:sz w:val="20"/>
          <w:szCs w:val="20"/>
        </w:rPr>
      </w:pPr>
      <w:r w:rsidRPr="00697DF2">
        <w:rPr>
          <w:sz w:val="20"/>
          <w:szCs w:val="20"/>
        </w:rPr>
        <w:t>n</w:t>
      </w:r>
      <w:r w:rsidR="00705641" w:rsidRPr="00697DF2">
        <w:rPr>
          <w:sz w:val="20"/>
          <w:szCs w:val="20"/>
        </w:rPr>
        <w:t>umer serii i typ pojemnika w postaci literowo-cyfrowej i kodu kreskowego,</w:t>
      </w:r>
    </w:p>
    <w:p w14:paraId="29F0E268" w14:textId="77777777" w:rsidR="00957EA8" w:rsidRPr="00697DF2" w:rsidRDefault="00957EA8" w:rsidP="00697DF2">
      <w:pPr>
        <w:pStyle w:val="Akapitzlist"/>
        <w:numPr>
          <w:ilvl w:val="0"/>
          <w:numId w:val="6"/>
        </w:numPr>
        <w:autoSpaceDE w:val="0"/>
        <w:autoSpaceDN w:val="0"/>
        <w:adjustRightInd w:val="0"/>
        <w:jc w:val="both"/>
        <w:rPr>
          <w:sz w:val="20"/>
          <w:szCs w:val="20"/>
        </w:rPr>
      </w:pPr>
      <w:r w:rsidRPr="00697DF2">
        <w:rPr>
          <w:sz w:val="20"/>
          <w:szCs w:val="20"/>
        </w:rPr>
        <w:t>d</w:t>
      </w:r>
      <w:r w:rsidR="00705641" w:rsidRPr="00697DF2">
        <w:rPr>
          <w:sz w:val="20"/>
          <w:szCs w:val="20"/>
        </w:rPr>
        <w:t xml:space="preserve">atę ważności </w:t>
      </w:r>
      <w:r w:rsidR="00C57BF3" w:rsidRPr="00697DF2">
        <w:rPr>
          <w:sz w:val="20"/>
          <w:szCs w:val="20"/>
        </w:rPr>
        <w:t>(dopuszczalna jest data ważności tylko na etykiecie pojemnika macierzystego)</w:t>
      </w:r>
    </w:p>
    <w:p w14:paraId="2BCE9FF3" w14:textId="4ADD6177" w:rsidR="00231AB5" w:rsidRPr="00697DF2" w:rsidRDefault="00231AB5" w:rsidP="00697DF2">
      <w:pPr>
        <w:autoSpaceDE w:val="0"/>
        <w:autoSpaceDN w:val="0"/>
        <w:adjustRightInd w:val="0"/>
        <w:ind w:left="360"/>
        <w:jc w:val="both"/>
        <w:rPr>
          <w:sz w:val="20"/>
          <w:szCs w:val="20"/>
        </w:rPr>
      </w:pPr>
      <w:r w:rsidRPr="00697DF2">
        <w:rPr>
          <w:sz w:val="20"/>
          <w:szCs w:val="20"/>
        </w:rPr>
        <w:t>Zamawiający dopuszcza etykiety z piktogramami zgodnymi z normą i standardami ISO 3826-2 pod warunkiem dołączenia instrukcji w języku polskim, gdzie wyjaśnione jest znaczenie piktogramów</w:t>
      </w:r>
      <w:r w:rsidR="007E7A00" w:rsidRPr="00697DF2">
        <w:rPr>
          <w:sz w:val="20"/>
          <w:szCs w:val="20"/>
        </w:rPr>
        <w:t>.</w:t>
      </w:r>
    </w:p>
    <w:p w14:paraId="5A62A176" w14:textId="77777777" w:rsidR="00705641" w:rsidRPr="00697DF2" w:rsidRDefault="00705641" w:rsidP="00697DF2">
      <w:pPr>
        <w:jc w:val="both"/>
        <w:rPr>
          <w:i/>
          <w:iCs/>
          <w:sz w:val="20"/>
          <w:szCs w:val="20"/>
          <w:u w:val="single"/>
        </w:rPr>
      </w:pPr>
    </w:p>
    <w:p w14:paraId="55166682" w14:textId="61BFDA4E" w:rsidR="00957EA8" w:rsidRPr="00697DF2" w:rsidRDefault="00957EA8" w:rsidP="00697DF2">
      <w:pPr>
        <w:tabs>
          <w:tab w:val="left" w:pos="7200"/>
        </w:tabs>
        <w:jc w:val="both"/>
        <w:rPr>
          <w:b/>
          <w:bCs/>
          <w:sz w:val="20"/>
          <w:szCs w:val="20"/>
        </w:rPr>
      </w:pPr>
      <w:r w:rsidRPr="00697DF2">
        <w:rPr>
          <w:b/>
          <w:bCs/>
          <w:sz w:val="20"/>
          <w:szCs w:val="20"/>
        </w:rPr>
        <w:t>Część 5</w:t>
      </w:r>
      <w:r w:rsidRPr="00697DF2">
        <w:rPr>
          <w:sz w:val="20"/>
          <w:szCs w:val="20"/>
        </w:rPr>
        <w:t xml:space="preserve"> -</w:t>
      </w:r>
      <w:r w:rsidR="00C85B12">
        <w:rPr>
          <w:sz w:val="20"/>
          <w:szCs w:val="20"/>
        </w:rPr>
        <w:t xml:space="preserve"> </w:t>
      </w:r>
      <w:r w:rsidR="00C85B12">
        <w:rPr>
          <w:b/>
          <w:bCs/>
          <w:sz w:val="20"/>
          <w:szCs w:val="20"/>
        </w:rPr>
        <w:t>d</w:t>
      </w:r>
      <w:r w:rsidRPr="00697DF2">
        <w:rPr>
          <w:b/>
          <w:bCs/>
          <w:sz w:val="20"/>
          <w:szCs w:val="20"/>
        </w:rPr>
        <w:t xml:space="preserve">ostawy 72 000 (siedemdziesięciu dwóch tysięcy) pojemników poczwórnych góra-dół RW 450ml/2X400ml </w:t>
      </w:r>
      <w:r w:rsidR="00A31CDF" w:rsidRPr="00697DF2">
        <w:rPr>
          <w:b/>
          <w:bCs/>
          <w:sz w:val="20"/>
          <w:szCs w:val="20"/>
        </w:rPr>
        <w:br/>
      </w:r>
      <w:r w:rsidRPr="00697DF2">
        <w:rPr>
          <w:b/>
          <w:bCs/>
          <w:sz w:val="20"/>
          <w:szCs w:val="20"/>
        </w:rPr>
        <w:t>do 600ml z filtrem in-line do produkcji ubogoleukocytarnego KKCz</w:t>
      </w:r>
      <w:r w:rsidRPr="00697DF2">
        <w:rPr>
          <w:b/>
          <w:bCs/>
          <w:i/>
          <w:iCs/>
          <w:sz w:val="20"/>
          <w:szCs w:val="20"/>
        </w:rPr>
        <w:tab/>
      </w:r>
    </w:p>
    <w:p w14:paraId="57677A5E" w14:textId="77777777" w:rsidR="00957EA8" w:rsidRPr="00697DF2" w:rsidRDefault="00957EA8" w:rsidP="00697DF2">
      <w:pPr>
        <w:pStyle w:val="Akapitzlist"/>
        <w:numPr>
          <w:ilvl w:val="0"/>
          <w:numId w:val="7"/>
        </w:numPr>
        <w:autoSpaceDE w:val="0"/>
        <w:autoSpaceDN w:val="0"/>
        <w:adjustRightInd w:val="0"/>
        <w:jc w:val="both"/>
        <w:rPr>
          <w:bCs/>
          <w:sz w:val="20"/>
          <w:szCs w:val="20"/>
        </w:rPr>
      </w:pPr>
      <w:r w:rsidRPr="00697DF2">
        <w:rPr>
          <w:bCs/>
          <w:sz w:val="20"/>
          <w:szCs w:val="20"/>
        </w:rPr>
        <w:t xml:space="preserve">Zestaw pojemników musi składać się z drenu do poboru krwi, pojemnika głównego i trzech pojemników transferowych trwale i integralnie połączonych drenami zapewniającymi kontrolowany, zamknięty, jałowy i apyrogenny system przepływu między pojemnikami </w:t>
      </w:r>
      <w:r w:rsidRPr="00697DF2">
        <w:rPr>
          <w:sz w:val="20"/>
          <w:szCs w:val="20"/>
        </w:rPr>
        <w:t>oraz filtra typu in-line umieszczonego na drenie prowadzącym od pojemnika na KKcz do pojemnika z roztworem wzbogacającym.</w:t>
      </w:r>
    </w:p>
    <w:p w14:paraId="37CE4CA1" w14:textId="06C2D4BE" w:rsidR="00957EA8" w:rsidRPr="00697DF2" w:rsidRDefault="00957EA8" w:rsidP="00697DF2">
      <w:pPr>
        <w:pStyle w:val="Akapitzlist"/>
        <w:numPr>
          <w:ilvl w:val="0"/>
          <w:numId w:val="7"/>
        </w:numPr>
        <w:autoSpaceDE w:val="0"/>
        <w:autoSpaceDN w:val="0"/>
        <w:adjustRightInd w:val="0"/>
        <w:jc w:val="both"/>
        <w:rPr>
          <w:iCs/>
          <w:sz w:val="20"/>
          <w:szCs w:val="20"/>
        </w:rPr>
      </w:pPr>
      <w:r w:rsidRPr="00697DF2">
        <w:rPr>
          <w:sz w:val="20"/>
          <w:szCs w:val="20"/>
        </w:rPr>
        <w:t>Budowa: pojemnik środkowy (główny) zawierający płyn konserwujący CPD</w:t>
      </w:r>
      <w:r w:rsidRPr="00697DF2">
        <w:rPr>
          <w:i/>
          <w:iCs/>
          <w:sz w:val="20"/>
          <w:szCs w:val="20"/>
          <w:vertAlign w:val="superscript"/>
        </w:rPr>
        <w:t xml:space="preserve"> </w:t>
      </w:r>
      <w:r w:rsidRPr="00697DF2">
        <w:rPr>
          <w:sz w:val="20"/>
          <w:szCs w:val="20"/>
        </w:rPr>
        <w:t xml:space="preserve">w ilości zgodnej z obowiązującymi przepisami  do pobierania 450 ml + 10 % krwi + pojemnik dolny á 400-600 ml połączony drenem, wyposażonym w filtr in-line,   </w:t>
      </w:r>
      <w:r w:rsidR="00A31CDF" w:rsidRPr="00697DF2">
        <w:rPr>
          <w:sz w:val="20"/>
          <w:szCs w:val="20"/>
        </w:rPr>
        <w:br/>
      </w:r>
      <w:r w:rsidRPr="00697DF2">
        <w:rPr>
          <w:sz w:val="20"/>
          <w:szCs w:val="20"/>
        </w:rPr>
        <w:t xml:space="preserve">z pojemnikiem przeznaczonym do przechowywania KKCz przez 42 dni, zawierającym RW w ilości zgodnej z obowiązującymi przepisami/ (stopień hemolizy w KKCz &lt;0,8% w ostatnim dniu przechowywania) + pusty pojemnik górny na 400-600ml </w:t>
      </w:r>
      <w:r w:rsidR="00697DF2">
        <w:rPr>
          <w:sz w:val="20"/>
          <w:szCs w:val="20"/>
        </w:rPr>
        <w:br/>
      </w:r>
      <w:r w:rsidRPr="00697DF2">
        <w:rPr>
          <w:sz w:val="20"/>
          <w:szCs w:val="20"/>
        </w:rPr>
        <w:t xml:space="preserve">do produkcji i przechowywania FFP. </w:t>
      </w:r>
    </w:p>
    <w:p w14:paraId="005E8639" w14:textId="77777777" w:rsidR="00957EA8" w:rsidRPr="00697DF2" w:rsidRDefault="00957EA8" w:rsidP="00697DF2">
      <w:pPr>
        <w:pStyle w:val="Akapitzlist"/>
        <w:numPr>
          <w:ilvl w:val="0"/>
          <w:numId w:val="7"/>
        </w:numPr>
        <w:autoSpaceDE w:val="0"/>
        <w:autoSpaceDN w:val="0"/>
        <w:adjustRightInd w:val="0"/>
        <w:jc w:val="both"/>
        <w:rPr>
          <w:iCs/>
          <w:sz w:val="20"/>
          <w:szCs w:val="20"/>
        </w:rPr>
      </w:pPr>
      <w:r w:rsidRPr="00697DF2">
        <w:rPr>
          <w:sz w:val="20"/>
          <w:szCs w:val="20"/>
        </w:rPr>
        <w:t>Budowa filtra: filtr ma być wykonany z elastycznego tworzywa- typ miękki, przeznaczony do wirowana, powinien cechować się małymi stratami objętości składnika w układzie filtracyjnym, a odzysk erytrocytów powinien wynosić nie mniej niż 90%, a skuteczność filtracji musi pozwalać na zachowanie zawartości leukocytów w preparacie poniżej 1x10</w:t>
      </w:r>
      <w:r w:rsidRPr="00697DF2">
        <w:rPr>
          <w:sz w:val="20"/>
          <w:szCs w:val="20"/>
          <w:vertAlign w:val="superscript"/>
        </w:rPr>
        <w:t>6</w:t>
      </w:r>
      <w:r w:rsidRPr="00697DF2">
        <w:rPr>
          <w:sz w:val="20"/>
          <w:szCs w:val="20"/>
        </w:rPr>
        <w:t>. Czas filtracji nie może być dłuższy niż 30 minut.</w:t>
      </w:r>
    </w:p>
    <w:p w14:paraId="454FE1FE" w14:textId="77777777" w:rsidR="00957EA8" w:rsidRPr="00697DF2" w:rsidRDefault="00957EA8" w:rsidP="00697DF2">
      <w:pPr>
        <w:pStyle w:val="Akapitzlist"/>
        <w:numPr>
          <w:ilvl w:val="0"/>
          <w:numId w:val="7"/>
        </w:numPr>
        <w:autoSpaceDE w:val="0"/>
        <w:autoSpaceDN w:val="0"/>
        <w:adjustRightInd w:val="0"/>
        <w:jc w:val="both"/>
        <w:rPr>
          <w:bCs/>
          <w:sz w:val="20"/>
          <w:szCs w:val="20"/>
        </w:rPr>
      </w:pPr>
      <w:r w:rsidRPr="00697DF2">
        <w:rPr>
          <w:iCs/>
          <w:sz w:val="20"/>
          <w:szCs w:val="20"/>
        </w:rPr>
        <w:t>Pojemnik do pobierania musi posiadać połączony drenem z drenem czerpalnym dodatkowy pojemnik umożliwiający pobieranie próbek krwi z pierwszej porcji krwi przed donacją o pojemności min. 30 ml, z dołączonym uniwersalnym portem umożliwiającym pobór próbek krwi w systemie zamkniętym</w:t>
      </w:r>
      <w:r w:rsidRPr="00697DF2">
        <w:rPr>
          <w:bCs/>
          <w:iCs/>
          <w:sz w:val="20"/>
          <w:szCs w:val="20"/>
        </w:rPr>
        <w:t>.</w:t>
      </w:r>
    </w:p>
    <w:p w14:paraId="249DAA56" w14:textId="77777777" w:rsidR="00957EA8" w:rsidRPr="00697DF2" w:rsidRDefault="00957EA8" w:rsidP="00697DF2">
      <w:pPr>
        <w:pStyle w:val="Akapitzlist"/>
        <w:numPr>
          <w:ilvl w:val="0"/>
          <w:numId w:val="7"/>
        </w:numPr>
        <w:autoSpaceDE w:val="0"/>
        <w:autoSpaceDN w:val="0"/>
        <w:adjustRightInd w:val="0"/>
        <w:jc w:val="both"/>
        <w:rPr>
          <w:bCs/>
          <w:sz w:val="20"/>
          <w:szCs w:val="20"/>
        </w:rPr>
      </w:pPr>
      <w:r w:rsidRPr="00697DF2">
        <w:rPr>
          <w:sz w:val="20"/>
          <w:szCs w:val="20"/>
        </w:rPr>
        <w:t>Zastosowanie: do pobierania krwi, do produkcji ubogoleukocytarnego koncentratu krwinek czerwonych bez kożuszka leukocytarno-płytkowego w roztworze wzbogacającym, osocza świeżo mrożonego oraz kożuszka leukocytarno-płytkowego.</w:t>
      </w:r>
    </w:p>
    <w:p w14:paraId="419BDC1D" w14:textId="77777777" w:rsidR="00957EA8" w:rsidRPr="00697DF2" w:rsidRDefault="00957EA8" w:rsidP="00697DF2">
      <w:pPr>
        <w:autoSpaceDE w:val="0"/>
        <w:autoSpaceDN w:val="0"/>
        <w:adjustRightInd w:val="0"/>
        <w:jc w:val="both"/>
        <w:rPr>
          <w:b/>
          <w:bCs/>
          <w:sz w:val="20"/>
          <w:szCs w:val="20"/>
        </w:rPr>
      </w:pPr>
      <w:r w:rsidRPr="00697DF2">
        <w:rPr>
          <w:i/>
          <w:iCs/>
          <w:sz w:val="20"/>
          <w:szCs w:val="20"/>
        </w:rPr>
        <w:t xml:space="preserve"> </w:t>
      </w:r>
      <w:r w:rsidRPr="00697DF2">
        <w:rPr>
          <w:b/>
          <w:bCs/>
          <w:sz w:val="20"/>
          <w:szCs w:val="20"/>
        </w:rPr>
        <w:t>Wymagane jest spełnienie następujących warunków granicznych:</w:t>
      </w:r>
    </w:p>
    <w:p w14:paraId="13580AE5" w14:textId="7B68440D" w:rsidR="00957EA8" w:rsidRPr="00697DF2" w:rsidRDefault="00957EA8" w:rsidP="00697DF2">
      <w:pPr>
        <w:numPr>
          <w:ilvl w:val="0"/>
          <w:numId w:val="3"/>
        </w:numPr>
        <w:autoSpaceDE w:val="0"/>
        <w:autoSpaceDN w:val="0"/>
        <w:adjustRightInd w:val="0"/>
        <w:jc w:val="both"/>
        <w:rPr>
          <w:b/>
          <w:bCs/>
          <w:sz w:val="20"/>
          <w:szCs w:val="20"/>
        </w:rPr>
      </w:pPr>
      <w:r w:rsidRPr="00697DF2">
        <w:rPr>
          <w:sz w:val="20"/>
          <w:szCs w:val="20"/>
        </w:rPr>
        <w:t xml:space="preserve">Dren czerpalny musi mieć długość min. 100 cm, zakończony ostrą igłą 16G, poddaną obróbce zwiększającej poślizg </w:t>
      </w:r>
      <w:r w:rsidR="00697DF2">
        <w:rPr>
          <w:sz w:val="20"/>
          <w:szCs w:val="20"/>
        </w:rPr>
        <w:br/>
      </w:r>
      <w:r w:rsidRPr="00697DF2">
        <w:rPr>
          <w:sz w:val="20"/>
          <w:szCs w:val="20"/>
        </w:rPr>
        <w:t xml:space="preserve">(np. silikonowanie). Konstrukcja igły musi gwarantować zapobieganie wycinaniu skóry, tkanki podskórnej i żyły (np. ostrze ścięte w dwóch płaszczyznach). Igła musi być zabezpieczona zamkniętą osłonką w taki sposób, aby zdjęcie osłonki z ostrza było możliwe i łatwe bez użycia jakichkolwiek narzędzi, dopiero po przerwaniu łączenia osłonki z nasadą igły, bez możliwości ponownego zamocowania osłonki na igłę. Zestaw powinien posiadać dodatkową osłonkę zapewniającą zabezpieczenie igły </w:t>
      </w:r>
      <w:r w:rsidR="00697DF2">
        <w:rPr>
          <w:sz w:val="20"/>
          <w:szCs w:val="20"/>
        </w:rPr>
        <w:br/>
      </w:r>
      <w:r w:rsidRPr="00697DF2">
        <w:rPr>
          <w:sz w:val="20"/>
          <w:szCs w:val="20"/>
        </w:rPr>
        <w:t>po pobraniu (umożliwiającą bezpieczne usunięcie igły z ramienia dawcy) oraz jej nieodwracalne zablokowanie po zakończeniu donacji. W miejscu połączenia igły z drenem czerpalnym powinien być wygodny, zapobiegający ślizganiu się palców, uchwyt umożliwiający dokonanie wkłucia do żyły. Od drenu czerpalnego na wysokości 18-</w:t>
      </w:r>
      <w:smartTag w:uri="urn:schemas-microsoft-com:office:smarttags" w:element="metricconverter">
        <w:smartTagPr>
          <w:attr w:name="ProductID" w:val="35 cm"/>
        </w:smartTagPr>
        <w:r w:rsidRPr="00697DF2">
          <w:rPr>
            <w:sz w:val="20"/>
            <w:szCs w:val="20"/>
          </w:rPr>
          <w:t>35 cm</w:t>
        </w:r>
      </w:smartTag>
      <w:r w:rsidRPr="00697DF2">
        <w:rPr>
          <w:sz w:val="20"/>
          <w:szCs w:val="20"/>
        </w:rPr>
        <w:t xml:space="preserve">, licząc od igły, powinien odchodzić dren (odejście musi gwarantować komfort wkłucia), doprowadzający tzw. „Pierwszą Krew” do pojemniczka o pojemności min. 30 ml. Na drenie tym powinien znajdować się otwarty zacisk plastikowy pozwalający na natychmiastowe przerwanie przepływu krwi. Na drenie czerpalnym głównym (pojemnik do pobierania) lub na drenie biegnącym do pojemnika próbkowego powinien znajdować się komin z łatwo łamliwą membraną. Poniżej, w odległości około </w:t>
      </w:r>
      <w:smartTag w:uri="urn:schemas-microsoft-com:office:smarttags" w:element="metricconverter">
        <w:smartTagPr>
          <w:attr w:name="ProductID" w:val="5 cm"/>
        </w:smartTagPr>
        <w:r w:rsidRPr="00697DF2">
          <w:rPr>
            <w:sz w:val="20"/>
            <w:szCs w:val="20"/>
          </w:rPr>
          <w:t>5 cm</w:t>
        </w:r>
      </w:smartTag>
      <w:r w:rsidRPr="00697DF2">
        <w:rPr>
          <w:sz w:val="20"/>
          <w:szCs w:val="20"/>
        </w:rPr>
        <w:t xml:space="preserve"> od w/w połączenia na drenie czerpalnym powinien znajdować się plastikowy zacisk pozwalający na natychmiastowe przerwanie przepływu krwi. Dren czerpalny musi umożliwiać pobranie „pierwszej krwi” nierozcieńczonej antykoagulantem. Pojemnik do pobierania tzw. „Pierwszej Krwi” powinien mieć uniwersalny port w formie adaptera z centralnie umieszczoną igłą, zabezpieczoną w sposób uniemożliwiający samoistny wypływ krwi, umożliwiający pobranie próbek krwi dla probówek systemu zamkniętego.</w:t>
      </w:r>
    </w:p>
    <w:p w14:paraId="33A6BC2C" w14:textId="77777777" w:rsidR="00957EA8" w:rsidRPr="00697DF2" w:rsidRDefault="00957EA8" w:rsidP="00697DF2">
      <w:pPr>
        <w:numPr>
          <w:ilvl w:val="0"/>
          <w:numId w:val="3"/>
        </w:numPr>
        <w:autoSpaceDE w:val="0"/>
        <w:autoSpaceDN w:val="0"/>
        <w:adjustRightInd w:val="0"/>
        <w:jc w:val="both"/>
        <w:rPr>
          <w:b/>
          <w:bCs/>
          <w:sz w:val="20"/>
          <w:szCs w:val="20"/>
        </w:rPr>
      </w:pPr>
      <w:r w:rsidRPr="00697DF2">
        <w:rPr>
          <w:sz w:val="20"/>
          <w:szCs w:val="20"/>
        </w:rPr>
        <w:t xml:space="preserve">Wszystkie dreny muszą być elastyczne, umożliwiać łatwe rolowanie i zadziałanie zacisków wagomieszarek po pobraniu pełnej donacji oraz zacisków pras automatycznych, a także skuteczne wykonywanie zgrzewów na zgrzewarkach różnego typu. </w:t>
      </w:r>
    </w:p>
    <w:p w14:paraId="1E8DBAAE" w14:textId="6A07AE6A" w:rsidR="00957EA8" w:rsidRPr="00697DF2" w:rsidRDefault="00957EA8" w:rsidP="00697DF2">
      <w:pPr>
        <w:numPr>
          <w:ilvl w:val="0"/>
          <w:numId w:val="3"/>
        </w:numPr>
        <w:autoSpaceDE w:val="0"/>
        <w:autoSpaceDN w:val="0"/>
        <w:adjustRightInd w:val="0"/>
        <w:jc w:val="both"/>
        <w:rPr>
          <w:b/>
          <w:bCs/>
          <w:sz w:val="20"/>
          <w:szCs w:val="20"/>
        </w:rPr>
      </w:pPr>
      <w:r w:rsidRPr="00697DF2">
        <w:rPr>
          <w:sz w:val="20"/>
          <w:szCs w:val="20"/>
        </w:rPr>
        <w:t xml:space="preserve">Dren łączący pojemnik macierzysty z pustym transferowym na </w:t>
      </w:r>
      <w:r w:rsidRPr="00697DF2">
        <w:rPr>
          <w:bCs/>
          <w:sz w:val="20"/>
          <w:szCs w:val="20"/>
        </w:rPr>
        <w:t xml:space="preserve">FFP </w:t>
      </w:r>
      <w:r w:rsidRPr="00697DF2">
        <w:rPr>
          <w:sz w:val="20"/>
          <w:szCs w:val="20"/>
        </w:rPr>
        <w:t xml:space="preserve">musi umożliwiać preparatykę na posiadanych prasach automatycznych Compomat G5 Plus (powinien mieć długość min. </w:t>
      </w:r>
      <w:smartTag w:uri="urn:schemas-microsoft-com:office:smarttags" w:element="metricconverter">
        <w:smartTagPr>
          <w:attr w:name="ProductID" w:val="53 cm"/>
        </w:smartTagPr>
        <w:r w:rsidRPr="00697DF2">
          <w:rPr>
            <w:sz w:val="20"/>
            <w:szCs w:val="20"/>
          </w:rPr>
          <w:t>53 cm</w:t>
        </w:r>
      </w:smartTag>
      <w:r w:rsidRPr="00697DF2">
        <w:rPr>
          <w:sz w:val="20"/>
          <w:szCs w:val="20"/>
        </w:rPr>
        <w:t>).</w:t>
      </w:r>
      <w:r w:rsidRPr="00697DF2">
        <w:rPr>
          <w:b/>
          <w:bCs/>
          <w:sz w:val="20"/>
          <w:szCs w:val="20"/>
        </w:rPr>
        <w:t xml:space="preserve"> </w:t>
      </w:r>
      <w:r w:rsidRPr="00697DF2">
        <w:rPr>
          <w:sz w:val="20"/>
          <w:szCs w:val="20"/>
        </w:rPr>
        <w:t xml:space="preserve">Dodatkowy dren przy pojemniku odbiorczym </w:t>
      </w:r>
      <w:r w:rsidR="00697DF2">
        <w:rPr>
          <w:sz w:val="20"/>
          <w:szCs w:val="20"/>
        </w:rPr>
        <w:br/>
      </w:r>
      <w:r w:rsidRPr="00697DF2">
        <w:rPr>
          <w:sz w:val="20"/>
          <w:szCs w:val="20"/>
        </w:rPr>
        <w:t>na U</w:t>
      </w:r>
      <w:r w:rsidRPr="00697DF2">
        <w:rPr>
          <w:bCs/>
          <w:sz w:val="20"/>
          <w:szCs w:val="20"/>
        </w:rPr>
        <w:t xml:space="preserve">KKCz </w:t>
      </w:r>
      <w:r w:rsidRPr="00697DF2">
        <w:rPr>
          <w:sz w:val="20"/>
          <w:szCs w:val="20"/>
        </w:rPr>
        <w:t>musi umożliwiać wykonanie min. 4 pilotek o długości min. 10 cm każda. . Dopuszczalne jest wykonywanie pilotek na drenie łączącym pojemnik odbiorczy na UKKCz z filtrem in-line przy zachowaniu odpowiedniej długości drenu.</w:t>
      </w:r>
    </w:p>
    <w:p w14:paraId="3E3F5EC2" w14:textId="7B829C06" w:rsidR="00957EA8" w:rsidRPr="00697DF2" w:rsidRDefault="00957EA8" w:rsidP="00697DF2">
      <w:pPr>
        <w:numPr>
          <w:ilvl w:val="0"/>
          <w:numId w:val="3"/>
        </w:numPr>
        <w:autoSpaceDE w:val="0"/>
        <w:autoSpaceDN w:val="0"/>
        <w:adjustRightInd w:val="0"/>
        <w:jc w:val="both"/>
        <w:rPr>
          <w:b/>
          <w:bCs/>
          <w:sz w:val="20"/>
          <w:szCs w:val="20"/>
        </w:rPr>
      </w:pPr>
      <w:r w:rsidRPr="00697DF2">
        <w:rPr>
          <w:sz w:val="20"/>
          <w:szCs w:val="20"/>
        </w:rPr>
        <w:lastRenderedPageBreak/>
        <w:t xml:space="preserve">Pojemnik transferowy do przechowywania osocza powinien zapewniać możliwość zamrażania szokowego w temperaturze poniżej - 35°C i bezpiecznego przechowywania osocza w temperaturze od </w:t>
      </w:r>
      <w:smartTag w:uri="urn:schemas-microsoft-com:office:smarttags" w:element="metricconverter">
        <w:smartTagPr>
          <w:attr w:name="ProductID" w:val="-25 ﾰC"/>
        </w:smartTagPr>
        <w:r w:rsidRPr="00697DF2">
          <w:rPr>
            <w:sz w:val="20"/>
            <w:szCs w:val="20"/>
          </w:rPr>
          <w:t>-25 °C</w:t>
        </w:r>
      </w:smartTag>
      <w:r w:rsidRPr="00697DF2">
        <w:rPr>
          <w:sz w:val="20"/>
          <w:szCs w:val="20"/>
        </w:rPr>
        <w:t xml:space="preserve"> do –90</w:t>
      </w:r>
      <w:r w:rsidRPr="00697DF2">
        <w:rPr>
          <w:sz w:val="20"/>
          <w:szCs w:val="20"/>
          <w:vertAlign w:val="superscript"/>
        </w:rPr>
        <w:t>0</w:t>
      </w:r>
      <w:r w:rsidRPr="00697DF2">
        <w:rPr>
          <w:sz w:val="20"/>
          <w:szCs w:val="20"/>
        </w:rPr>
        <w:t xml:space="preserve">C z zachowaniem elastyczności </w:t>
      </w:r>
      <w:r w:rsidR="00A31CDF" w:rsidRPr="00697DF2">
        <w:rPr>
          <w:sz w:val="20"/>
          <w:szCs w:val="20"/>
        </w:rPr>
        <w:br/>
      </w:r>
      <w:r w:rsidRPr="00697DF2">
        <w:rPr>
          <w:sz w:val="20"/>
          <w:szCs w:val="20"/>
        </w:rPr>
        <w:t>i jałowości pojemnika.</w:t>
      </w:r>
    </w:p>
    <w:p w14:paraId="2022FF23" w14:textId="77777777" w:rsidR="00957EA8" w:rsidRPr="00697DF2" w:rsidRDefault="00957EA8" w:rsidP="00697DF2">
      <w:pPr>
        <w:numPr>
          <w:ilvl w:val="0"/>
          <w:numId w:val="3"/>
        </w:numPr>
        <w:autoSpaceDE w:val="0"/>
        <w:autoSpaceDN w:val="0"/>
        <w:adjustRightInd w:val="0"/>
        <w:jc w:val="both"/>
        <w:rPr>
          <w:b/>
          <w:bCs/>
          <w:sz w:val="20"/>
          <w:szCs w:val="20"/>
        </w:rPr>
      </w:pPr>
      <w:r w:rsidRPr="00697DF2">
        <w:rPr>
          <w:sz w:val="20"/>
          <w:szCs w:val="20"/>
        </w:rPr>
        <w:t>Pojemniki muszą być odporne na wirowanie z przyspieszeniem min. 5000xg (w czasie min. 10 minut) przy objętości pobrania krwi 450 ml ± 10 %.</w:t>
      </w:r>
    </w:p>
    <w:p w14:paraId="79A2A034" w14:textId="77777777" w:rsidR="00957EA8" w:rsidRPr="00697DF2" w:rsidRDefault="00957EA8" w:rsidP="00697DF2">
      <w:pPr>
        <w:numPr>
          <w:ilvl w:val="0"/>
          <w:numId w:val="3"/>
        </w:numPr>
        <w:autoSpaceDE w:val="0"/>
        <w:autoSpaceDN w:val="0"/>
        <w:adjustRightInd w:val="0"/>
        <w:jc w:val="both"/>
        <w:rPr>
          <w:bCs/>
          <w:sz w:val="20"/>
          <w:szCs w:val="20"/>
        </w:rPr>
      </w:pPr>
      <w:r w:rsidRPr="00697DF2">
        <w:rPr>
          <w:sz w:val="20"/>
          <w:szCs w:val="20"/>
        </w:rPr>
        <w:t xml:space="preserve">Materiał, z którego wykonany jest pojemnik główny i pojemniki transferowe musi być przejrzysty, umożliwiać wizualną ocenę płynu znajdującego się w pojemniku (w szczególności wykrycie zmętnień, oraz musi być przepuszczalny dla promieniowania IR stosowanego w optycznych detektorach używanych pras). </w:t>
      </w:r>
      <w:r w:rsidRPr="00697DF2">
        <w:rPr>
          <w:bCs/>
          <w:sz w:val="20"/>
          <w:szCs w:val="20"/>
        </w:rPr>
        <w:t>Tworzywo pojemników musi być zgodne z obowiązującymi zapisami w Farmakopei Europejskiej.</w:t>
      </w:r>
    </w:p>
    <w:p w14:paraId="6EE8D776" w14:textId="45435C18" w:rsidR="00957EA8" w:rsidRPr="00697DF2" w:rsidRDefault="00957EA8" w:rsidP="00697DF2">
      <w:pPr>
        <w:numPr>
          <w:ilvl w:val="0"/>
          <w:numId w:val="3"/>
        </w:numPr>
        <w:autoSpaceDE w:val="0"/>
        <w:autoSpaceDN w:val="0"/>
        <w:adjustRightInd w:val="0"/>
        <w:jc w:val="both"/>
        <w:rPr>
          <w:sz w:val="20"/>
          <w:szCs w:val="20"/>
        </w:rPr>
      </w:pPr>
      <w:r w:rsidRPr="00697DF2">
        <w:rPr>
          <w:sz w:val="20"/>
          <w:szCs w:val="20"/>
        </w:rPr>
        <w:t xml:space="preserve">Pojemniki transferowe powinny zawierać co najmniej 2 porty zabezpieczone błoną od wewnątrz oraz odpowiednią ochroną </w:t>
      </w:r>
      <w:r w:rsidRPr="00697DF2">
        <w:rPr>
          <w:sz w:val="20"/>
          <w:szCs w:val="20"/>
        </w:rPr>
        <w:br/>
        <w:t>z zewnątrz zapewniającą jałowość, umożliwiające łatwy dostęp do podłączenia zestawu do przetoczenia.</w:t>
      </w:r>
    </w:p>
    <w:p w14:paraId="759EAB59" w14:textId="4430EEBE" w:rsidR="00957EA8" w:rsidRPr="00697DF2" w:rsidRDefault="00957EA8" w:rsidP="00697DF2">
      <w:pPr>
        <w:numPr>
          <w:ilvl w:val="0"/>
          <w:numId w:val="3"/>
        </w:numPr>
        <w:autoSpaceDE w:val="0"/>
        <w:autoSpaceDN w:val="0"/>
        <w:adjustRightInd w:val="0"/>
        <w:jc w:val="both"/>
        <w:rPr>
          <w:sz w:val="20"/>
          <w:szCs w:val="20"/>
        </w:rPr>
      </w:pPr>
      <w:r w:rsidRPr="00697DF2">
        <w:rPr>
          <w:sz w:val="20"/>
          <w:szCs w:val="20"/>
        </w:rPr>
        <w:t xml:space="preserve">Pojemnik główny u wyjścia drenu prowadzącego do górnego pojemnika transferowego pustego i pojemnik dolny na KKCz </w:t>
      </w:r>
      <w:r w:rsidRPr="00697DF2">
        <w:rPr>
          <w:sz w:val="20"/>
          <w:szCs w:val="20"/>
        </w:rPr>
        <w:br/>
        <w:t>u wyjścia drenu łączącego go z pojemnikiem głównym oraz pojemnik zawierający RW, powinny mieć kominy z membraną</w:t>
      </w:r>
      <w:r w:rsidRPr="00697DF2">
        <w:rPr>
          <w:color w:val="FF0000"/>
          <w:sz w:val="20"/>
          <w:szCs w:val="20"/>
        </w:rPr>
        <w:t xml:space="preserve"> </w:t>
      </w:r>
      <w:r w:rsidRPr="00697DF2">
        <w:rPr>
          <w:sz w:val="20"/>
          <w:szCs w:val="20"/>
        </w:rPr>
        <w:t xml:space="preserve">umożliwiającą automatyczne otwierania w czasie preparatyki na posiadanych przez Zamawiającego prasach Compomat G5 Plus, wyposażonych w „otwieracze” kaniul dedykowanych do otwierania manualnego (ręcznego) oraz „otwieracze” kaniul typu Compoflow dedykowanych do otwierania automatycznego, bez negatywnego wpływu na jakość otrzymanych składników krwi. </w:t>
      </w:r>
    </w:p>
    <w:p w14:paraId="63205B4F" w14:textId="2443C9B0" w:rsidR="00957EA8" w:rsidRPr="00697DF2" w:rsidRDefault="00957EA8" w:rsidP="00697DF2">
      <w:pPr>
        <w:numPr>
          <w:ilvl w:val="0"/>
          <w:numId w:val="3"/>
        </w:numPr>
        <w:autoSpaceDE w:val="0"/>
        <w:autoSpaceDN w:val="0"/>
        <w:adjustRightInd w:val="0"/>
        <w:jc w:val="both"/>
        <w:rPr>
          <w:sz w:val="20"/>
          <w:szCs w:val="20"/>
        </w:rPr>
      </w:pPr>
      <w:r w:rsidRPr="00697DF2">
        <w:rPr>
          <w:sz w:val="20"/>
          <w:szCs w:val="20"/>
        </w:rPr>
        <w:t xml:space="preserve">Na górnej krawędzi pojemnika głównego, symetrycznie po dwóch stronach komina ujścia drenu łączącego pojemnik główny </w:t>
      </w:r>
      <w:r w:rsidRPr="00697DF2">
        <w:rPr>
          <w:sz w:val="20"/>
          <w:szCs w:val="20"/>
        </w:rPr>
        <w:br/>
        <w:t>z pustym pojemnikiem na osocze powinny znajdować się dwa otwory umożliwiające zawieszenie pojemnika na haczykach prasy automatycznej.</w:t>
      </w:r>
    </w:p>
    <w:p w14:paraId="6B5BC7C7" w14:textId="77777777" w:rsidR="00957EA8" w:rsidRPr="00697DF2" w:rsidRDefault="00957EA8" w:rsidP="00697DF2">
      <w:pPr>
        <w:numPr>
          <w:ilvl w:val="0"/>
          <w:numId w:val="3"/>
        </w:numPr>
        <w:autoSpaceDE w:val="0"/>
        <w:autoSpaceDN w:val="0"/>
        <w:adjustRightInd w:val="0"/>
        <w:jc w:val="both"/>
        <w:rPr>
          <w:sz w:val="20"/>
          <w:szCs w:val="20"/>
        </w:rPr>
      </w:pPr>
      <w:r w:rsidRPr="00697DF2">
        <w:rPr>
          <w:sz w:val="20"/>
          <w:szCs w:val="20"/>
        </w:rPr>
        <w:t>Na dolnej krawędzi pojemnika pustego na osocze i pojemnika na UKKCz / RW, centralnie i na bocznych krawędziach powinno znajdować się podłużne nacięcie materiału pojemnika, umożliwiające zawieszanie pojemników na haczykach statywów transfuzyjnych.</w:t>
      </w:r>
    </w:p>
    <w:p w14:paraId="3B0C1494" w14:textId="4541F831" w:rsidR="00957EA8" w:rsidRPr="00697DF2" w:rsidRDefault="00957EA8" w:rsidP="00697DF2">
      <w:pPr>
        <w:numPr>
          <w:ilvl w:val="0"/>
          <w:numId w:val="3"/>
        </w:numPr>
        <w:autoSpaceDE w:val="0"/>
        <w:autoSpaceDN w:val="0"/>
        <w:adjustRightInd w:val="0"/>
        <w:jc w:val="both"/>
        <w:rPr>
          <w:bCs/>
          <w:sz w:val="20"/>
          <w:szCs w:val="20"/>
        </w:rPr>
      </w:pPr>
      <w:r w:rsidRPr="00697DF2">
        <w:rPr>
          <w:color w:val="000000"/>
          <w:sz w:val="20"/>
          <w:szCs w:val="20"/>
        </w:rPr>
        <w:t xml:space="preserve">Pojedyncze pojemniki/zestawy do pobierania krwi muszą być zamknięte w opakowaniach zabezpieczających- w jednym opakowaniu może być tylko jeden zestaw/ pojemniki.   Opakowanie zabezpieczające ma zapewnić zachowanie jałowości </w:t>
      </w:r>
      <w:r w:rsidRPr="00697DF2">
        <w:rPr>
          <w:color w:val="000000"/>
          <w:sz w:val="20"/>
          <w:szCs w:val="20"/>
        </w:rPr>
        <w:br/>
        <w:t xml:space="preserve">i apyrogenności pojemników/ zestawów oraz odpowiednią wilgotność w czasie przechowywania. Pojemniki/ zestawy </w:t>
      </w:r>
      <w:r w:rsidRPr="00697DF2">
        <w:rPr>
          <w:color w:val="000000"/>
          <w:sz w:val="20"/>
          <w:szCs w:val="20"/>
        </w:rPr>
        <w:br/>
        <w:t xml:space="preserve">w opakowaniach zabezpieczających muszą być zapakowane w odporne na uszkodzenia opakowania zbiorcze. </w:t>
      </w:r>
      <w:r w:rsidRPr="00697DF2">
        <w:rPr>
          <w:sz w:val="20"/>
          <w:szCs w:val="20"/>
        </w:rPr>
        <w:t>Opakowanie zbiorcze może zawierać zestawy tylko jednej serii. Opakowanie zbiorcze musi być oznakowane etykietą zawierająca minimum następujące dane: nazwa producenta, nazwa pojemników, numer serii, data ważności, informacje o warunkach przechowywania - magazynowania pojemników. Wymagana temperatura przechowywania kartonów z pojemnikami od 0ºC do +25ºC.</w:t>
      </w:r>
    </w:p>
    <w:p w14:paraId="597E5232" w14:textId="0EDB4226" w:rsidR="00957EA8" w:rsidRPr="00697DF2" w:rsidRDefault="00957EA8" w:rsidP="00697DF2">
      <w:pPr>
        <w:numPr>
          <w:ilvl w:val="0"/>
          <w:numId w:val="3"/>
        </w:numPr>
        <w:autoSpaceDE w:val="0"/>
        <w:autoSpaceDN w:val="0"/>
        <w:adjustRightInd w:val="0"/>
        <w:jc w:val="both"/>
        <w:rPr>
          <w:bCs/>
          <w:sz w:val="20"/>
          <w:szCs w:val="20"/>
        </w:rPr>
      </w:pPr>
      <w:r w:rsidRPr="00697DF2">
        <w:rPr>
          <w:sz w:val="20"/>
          <w:szCs w:val="20"/>
        </w:rPr>
        <w:t xml:space="preserve">Na wszystkich pojemnikach muszą być trwale umocowane etykiety, które nie mogą ulegać uszkodzeniom ani odklejeniu </w:t>
      </w:r>
      <w:r w:rsidRPr="00697DF2">
        <w:rPr>
          <w:sz w:val="20"/>
          <w:szCs w:val="20"/>
        </w:rPr>
        <w:br/>
        <w:t>w czasie preparatyki i przechowywania. Etykieta robocza powinna mieć wymiary umożliwiające przyklejanie na nich etykiety głównej o wymiarach 101,6 mm x 101,6 mm, zgodnej z wymaganiami ISBT 128 (międzynarodowy standard oznakowania krwi i jej składników).</w:t>
      </w:r>
    </w:p>
    <w:p w14:paraId="5E243F99" w14:textId="77777777" w:rsidR="00957EA8" w:rsidRPr="00697DF2" w:rsidRDefault="00957EA8" w:rsidP="00697DF2">
      <w:pPr>
        <w:numPr>
          <w:ilvl w:val="0"/>
          <w:numId w:val="3"/>
        </w:numPr>
        <w:autoSpaceDE w:val="0"/>
        <w:autoSpaceDN w:val="0"/>
        <w:adjustRightInd w:val="0"/>
        <w:jc w:val="both"/>
        <w:rPr>
          <w:bCs/>
          <w:sz w:val="20"/>
          <w:szCs w:val="20"/>
        </w:rPr>
      </w:pPr>
      <w:r w:rsidRPr="00697DF2">
        <w:rPr>
          <w:sz w:val="20"/>
          <w:szCs w:val="20"/>
        </w:rPr>
        <w:t>Etykieta macierzysta musi posiadać znak CE oraz kody kreskowe odpowiadające wymogom standardu EAN – 128 lub ISBT-128. Etykiety muszą mieć również wersję polską napisów i zawierać:</w:t>
      </w:r>
    </w:p>
    <w:p w14:paraId="4B677C49" w14:textId="57DE9D06" w:rsidR="00957EA8" w:rsidRPr="00697DF2" w:rsidRDefault="00957EA8" w:rsidP="00697DF2">
      <w:pPr>
        <w:pStyle w:val="Akapitzlist"/>
        <w:numPr>
          <w:ilvl w:val="0"/>
          <w:numId w:val="8"/>
        </w:numPr>
        <w:autoSpaceDE w:val="0"/>
        <w:autoSpaceDN w:val="0"/>
        <w:adjustRightInd w:val="0"/>
        <w:jc w:val="both"/>
        <w:rPr>
          <w:sz w:val="20"/>
          <w:szCs w:val="20"/>
        </w:rPr>
      </w:pPr>
      <w:r w:rsidRPr="00697DF2">
        <w:rPr>
          <w:sz w:val="20"/>
          <w:szCs w:val="20"/>
        </w:rPr>
        <w:t>nazwę firmy i nazwę pojemnika (pojemność);</w:t>
      </w:r>
    </w:p>
    <w:p w14:paraId="4EC73706" w14:textId="73C8BBCA" w:rsidR="00957EA8" w:rsidRPr="00697DF2" w:rsidRDefault="00957EA8" w:rsidP="00697DF2">
      <w:pPr>
        <w:pStyle w:val="Akapitzlist"/>
        <w:numPr>
          <w:ilvl w:val="0"/>
          <w:numId w:val="8"/>
        </w:numPr>
        <w:autoSpaceDE w:val="0"/>
        <w:autoSpaceDN w:val="0"/>
        <w:adjustRightInd w:val="0"/>
        <w:jc w:val="both"/>
        <w:rPr>
          <w:sz w:val="20"/>
          <w:szCs w:val="20"/>
        </w:rPr>
      </w:pPr>
      <w:r w:rsidRPr="00697DF2">
        <w:rPr>
          <w:sz w:val="20"/>
          <w:szCs w:val="20"/>
        </w:rPr>
        <w:t>informację o przeznaczeniu pojemnika oraz rodzaju płynu konserwującego i RW;</w:t>
      </w:r>
    </w:p>
    <w:p w14:paraId="750FEED2" w14:textId="02453863" w:rsidR="00957EA8" w:rsidRPr="00697DF2" w:rsidRDefault="00957EA8" w:rsidP="00697DF2">
      <w:pPr>
        <w:pStyle w:val="Akapitzlist"/>
        <w:numPr>
          <w:ilvl w:val="0"/>
          <w:numId w:val="8"/>
        </w:numPr>
        <w:autoSpaceDE w:val="0"/>
        <w:autoSpaceDN w:val="0"/>
        <w:adjustRightInd w:val="0"/>
        <w:jc w:val="both"/>
        <w:rPr>
          <w:sz w:val="20"/>
          <w:szCs w:val="20"/>
        </w:rPr>
      </w:pPr>
      <w:r w:rsidRPr="00697DF2">
        <w:rPr>
          <w:sz w:val="20"/>
          <w:szCs w:val="20"/>
        </w:rPr>
        <w:t>numer serii i typ pojemnika w postaci literowo-cyfrowej i kodu kreskowego;</w:t>
      </w:r>
    </w:p>
    <w:p w14:paraId="77B2662C" w14:textId="0B7DFDE9" w:rsidR="00957EA8" w:rsidRPr="00697DF2" w:rsidRDefault="00957EA8" w:rsidP="00697DF2">
      <w:pPr>
        <w:pStyle w:val="Akapitzlist"/>
        <w:numPr>
          <w:ilvl w:val="0"/>
          <w:numId w:val="8"/>
        </w:numPr>
        <w:autoSpaceDE w:val="0"/>
        <w:autoSpaceDN w:val="0"/>
        <w:adjustRightInd w:val="0"/>
        <w:jc w:val="both"/>
        <w:rPr>
          <w:sz w:val="20"/>
          <w:szCs w:val="20"/>
        </w:rPr>
      </w:pPr>
      <w:r w:rsidRPr="00697DF2">
        <w:rPr>
          <w:sz w:val="20"/>
          <w:szCs w:val="20"/>
        </w:rPr>
        <w:t>datę ważności (dopuszczalna jest data ważności tylko na etykiecie pojemnika macierzystego)</w:t>
      </w:r>
      <w:r w:rsidR="00A31CDF" w:rsidRPr="00697DF2">
        <w:rPr>
          <w:sz w:val="20"/>
          <w:szCs w:val="20"/>
        </w:rPr>
        <w:t>.</w:t>
      </w:r>
    </w:p>
    <w:p w14:paraId="214247D9" w14:textId="5ECCF3D0" w:rsidR="00957EA8" w:rsidRPr="00697DF2" w:rsidRDefault="00957EA8" w:rsidP="00697DF2">
      <w:pPr>
        <w:autoSpaceDE w:val="0"/>
        <w:autoSpaceDN w:val="0"/>
        <w:adjustRightInd w:val="0"/>
        <w:ind w:left="360"/>
        <w:jc w:val="both"/>
        <w:rPr>
          <w:sz w:val="20"/>
          <w:szCs w:val="20"/>
        </w:rPr>
      </w:pPr>
      <w:r w:rsidRPr="00697DF2">
        <w:rPr>
          <w:sz w:val="20"/>
          <w:szCs w:val="20"/>
        </w:rPr>
        <w:t>Zamawiający dopuszcza etykiety z piktogramami zgodnymi z normą i standardami ISO 3826-2 pod warunkiem dołączenia instrukcji w języku polskim, gdzie wyjaśnione jest znaczenie piktogramów.</w:t>
      </w:r>
    </w:p>
    <w:p w14:paraId="14D91778" w14:textId="06CB1140" w:rsidR="00705641" w:rsidRPr="00697DF2" w:rsidRDefault="00705641" w:rsidP="00697DF2">
      <w:pPr>
        <w:jc w:val="both"/>
        <w:rPr>
          <w:b/>
          <w:bCs/>
          <w:smallCaps/>
          <w:sz w:val="20"/>
          <w:szCs w:val="20"/>
        </w:rPr>
      </w:pPr>
    </w:p>
    <w:p w14:paraId="676603C6" w14:textId="77777777" w:rsidR="00705641" w:rsidRPr="00697DF2" w:rsidRDefault="00705641" w:rsidP="00697DF2">
      <w:pPr>
        <w:jc w:val="both"/>
        <w:rPr>
          <w:iCs/>
          <w:sz w:val="20"/>
          <w:szCs w:val="20"/>
        </w:rPr>
      </w:pPr>
    </w:p>
    <w:p w14:paraId="4FABB113" w14:textId="77777777" w:rsidR="00705641" w:rsidRPr="00697DF2" w:rsidRDefault="00705641" w:rsidP="00697DF2">
      <w:pPr>
        <w:jc w:val="both"/>
        <w:rPr>
          <w:b/>
          <w:bCs/>
          <w:i/>
          <w:iCs/>
          <w:kern w:val="144"/>
          <w:sz w:val="20"/>
          <w:szCs w:val="20"/>
        </w:rPr>
      </w:pPr>
    </w:p>
    <w:p w14:paraId="08B50032" w14:textId="77777777" w:rsidR="00705641" w:rsidRPr="00697DF2" w:rsidRDefault="00705641" w:rsidP="00697DF2">
      <w:pPr>
        <w:ind w:left="360"/>
        <w:jc w:val="both"/>
        <w:rPr>
          <w:sz w:val="20"/>
          <w:szCs w:val="20"/>
        </w:rPr>
      </w:pPr>
    </w:p>
    <w:p w14:paraId="22D52CEC" w14:textId="77777777" w:rsidR="005543C5" w:rsidRPr="00697DF2" w:rsidRDefault="005543C5" w:rsidP="00697DF2">
      <w:pPr>
        <w:jc w:val="both"/>
        <w:rPr>
          <w:sz w:val="20"/>
          <w:szCs w:val="20"/>
        </w:rPr>
      </w:pPr>
    </w:p>
    <w:sectPr w:rsidR="005543C5" w:rsidRPr="00697DF2" w:rsidSect="00957EA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518"/>
    <w:multiLevelType w:val="hybridMultilevel"/>
    <w:tmpl w:val="0D90B032"/>
    <w:lvl w:ilvl="0" w:tplc="ED7AF262">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E920DD0"/>
    <w:multiLevelType w:val="hybridMultilevel"/>
    <w:tmpl w:val="9C5845E6"/>
    <w:lvl w:ilvl="0" w:tplc="19E4BD7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5E531A"/>
    <w:multiLevelType w:val="hybridMultilevel"/>
    <w:tmpl w:val="ABD45AF6"/>
    <w:lvl w:ilvl="0" w:tplc="F43A1ED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0F830CE"/>
    <w:multiLevelType w:val="multilevel"/>
    <w:tmpl w:val="33B04A86"/>
    <w:lvl w:ilvl="0">
      <w:start w:val="1"/>
      <w:numFmt w:val="decimal"/>
      <w:lvlText w:val="%1."/>
      <w:lvlJc w:val="left"/>
      <w:pPr>
        <w:ind w:left="360" w:hanging="360"/>
      </w:pPr>
      <w:rPr>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253220D"/>
    <w:multiLevelType w:val="multilevel"/>
    <w:tmpl w:val="B5D8A69E"/>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3."/>
      <w:lvlJc w:val="left"/>
      <w:pPr>
        <w:ind w:left="720" w:hanging="720"/>
      </w:pPr>
      <w:rPr>
        <w:rFonts w:ascii="Garamond" w:eastAsia="Times New Roman" w:hAnsi="Garamond"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950A8C"/>
    <w:multiLevelType w:val="hybridMultilevel"/>
    <w:tmpl w:val="9C4E0BC2"/>
    <w:lvl w:ilvl="0" w:tplc="62B2CB2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603C31EB"/>
    <w:multiLevelType w:val="hybridMultilevel"/>
    <w:tmpl w:val="BE4E6FDE"/>
    <w:lvl w:ilvl="0" w:tplc="2EA6F3D2">
      <w:start w:val="1"/>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E046EC6"/>
    <w:multiLevelType w:val="hybridMultilevel"/>
    <w:tmpl w:val="95D6AEAE"/>
    <w:lvl w:ilvl="0" w:tplc="F808055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2D94599"/>
    <w:multiLevelType w:val="hybridMultilevel"/>
    <w:tmpl w:val="9E6864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73D748BD"/>
    <w:multiLevelType w:val="hybridMultilevel"/>
    <w:tmpl w:val="ABD45AF6"/>
    <w:lvl w:ilvl="0" w:tplc="FFFFFFFF">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9BE46EF"/>
    <w:multiLevelType w:val="hybridMultilevel"/>
    <w:tmpl w:val="D6563782"/>
    <w:lvl w:ilvl="0" w:tplc="01C08250">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7F3D187D"/>
    <w:multiLevelType w:val="multilevel"/>
    <w:tmpl w:val="376A352C"/>
    <w:lvl w:ilvl="0">
      <w:start w:val="1"/>
      <w:numFmt w:val="decimal"/>
      <w:lvlText w:val="%1."/>
      <w:lvlJc w:val="left"/>
      <w:pPr>
        <w:tabs>
          <w:tab w:val="num" w:pos="360"/>
        </w:tabs>
        <w:ind w:left="360" w:hanging="360"/>
      </w:pPr>
      <w:rPr>
        <w:rFonts w:cs="Arial"/>
        <w:b w:val="0"/>
      </w:rPr>
    </w:lvl>
    <w:lvl w:ilvl="1">
      <w:start w:val="1"/>
      <w:numFmt w:val="decimal"/>
      <w:lvlText w:val="%1.%2."/>
      <w:lvlJc w:val="left"/>
      <w:pPr>
        <w:tabs>
          <w:tab w:val="num" w:pos="720"/>
        </w:tabs>
        <w:ind w:left="720" w:hanging="720"/>
      </w:pPr>
      <w:rPr>
        <w:rFonts w:cs="Arial"/>
        <w:b w:val="0"/>
      </w:rPr>
    </w:lvl>
    <w:lvl w:ilvl="2">
      <w:start w:val="1"/>
      <w:numFmt w:val="decimal"/>
      <w:lvlText w:val="%1.%2.%3."/>
      <w:lvlJc w:val="left"/>
      <w:pPr>
        <w:tabs>
          <w:tab w:val="num" w:pos="720"/>
        </w:tabs>
        <w:ind w:left="720" w:hanging="720"/>
      </w:pPr>
      <w:rPr>
        <w:rFonts w:cs="Arial"/>
        <w:b w:val="0"/>
      </w:rPr>
    </w:lvl>
    <w:lvl w:ilvl="3">
      <w:start w:val="1"/>
      <w:numFmt w:val="decimal"/>
      <w:lvlText w:val="%1.%2.%3.%4."/>
      <w:lvlJc w:val="left"/>
      <w:pPr>
        <w:tabs>
          <w:tab w:val="num" w:pos="1080"/>
        </w:tabs>
        <w:ind w:left="1080" w:hanging="1080"/>
      </w:pPr>
      <w:rPr>
        <w:rFonts w:cs="Arial"/>
        <w:b w:val="0"/>
      </w:rPr>
    </w:lvl>
    <w:lvl w:ilvl="4">
      <w:start w:val="1"/>
      <w:numFmt w:val="decimal"/>
      <w:lvlText w:val="%1.%2.%3.%4.%5."/>
      <w:lvlJc w:val="left"/>
      <w:pPr>
        <w:tabs>
          <w:tab w:val="num" w:pos="1440"/>
        </w:tabs>
        <w:ind w:left="1440" w:hanging="1440"/>
      </w:pPr>
      <w:rPr>
        <w:rFonts w:cs="Arial"/>
        <w:b w:val="0"/>
      </w:rPr>
    </w:lvl>
    <w:lvl w:ilvl="5">
      <w:start w:val="1"/>
      <w:numFmt w:val="decimal"/>
      <w:lvlText w:val="%1.%2.%3.%4.%5.%6."/>
      <w:lvlJc w:val="left"/>
      <w:pPr>
        <w:tabs>
          <w:tab w:val="num" w:pos="1440"/>
        </w:tabs>
        <w:ind w:left="1440" w:hanging="1440"/>
      </w:pPr>
      <w:rPr>
        <w:rFonts w:cs="Arial"/>
        <w:b w:val="0"/>
      </w:rPr>
    </w:lvl>
    <w:lvl w:ilvl="6">
      <w:start w:val="1"/>
      <w:numFmt w:val="decimal"/>
      <w:lvlText w:val="%1.%2.%3.%4.%5.%6.%7."/>
      <w:lvlJc w:val="left"/>
      <w:pPr>
        <w:tabs>
          <w:tab w:val="num" w:pos="1800"/>
        </w:tabs>
        <w:ind w:left="1800" w:hanging="1800"/>
      </w:pPr>
      <w:rPr>
        <w:rFonts w:cs="Arial"/>
        <w:b w:val="0"/>
      </w:rPr>
    </w:lvl>
    <w:lvl w:ilvl="7">
      <w:start w:val="1"/>
      <w:numFmt w:val="decimal"/>
      <w:lvlText w:val="%1.%2.%3.%4.%5.%6.%7.%8."/>
      <w:lvlJc w:val="left"/>
      <w:pPr>
        <w:tabs>
          <w:tab w:val="num" w:pos="1800"/>
        </w:tabs>
        <w:ind w:left="1800" w:hanging="1800"/>
      </w:pPr>
      <w:rPr>
        <w:rFonts w:cs="Arial"/>
        <w:b w:val="0"/>
      </w:rPr>
    </w:lvl>
    <w:lvl w:ilvl="8">
      <w:start w:val="1"/>
      <w:numFmt w:val="decimal"/>
      <w:lvlText w:val="%1.%2.%3.%4.%5.%6.%7.%8.%9."/>
      <w:lvlJc w:val="left"/>
      <w:pPr>
        <w:tabs>
          <w:tab w:val="num" w:pos="2160"/>
        </w:tabs>
        <w:ind w:left="2160" w:hanging="2160"/>
      </w:pPr>
      <w:rPr>
        <w:rFonts w:cs="Arial"/>
        <w:b w:val="0"/>
      </w:rPr>
    </w:lvl>
  </w:abstractNum>
  <w:num w:numId="1" w16cid:durableId="1703704262">
    <w:abstractNumId w:val="11"/>
  </w:num>
  <w:num w:numId="2" w16cid:durableId="149832397">
    <w:abstractNumId w:val="4"/>
  </w:num>
  <w:num w:numId="3" w16cid:durableId="1598053216">
    <w:abstractNumId w:val="3"/>
  </w:num>
  <w:num w:numId="4" w16cid:durableId="435565134">
    <w:abstractNumId w:val="0"/>
  </w:num>
  <w:num w:numId="5" w16cid:durableId="1233076911">
    <w:abstractNumId w:val="8"/>
  </w:num>
  <w:num w:numId="6" w16cid:durableId="679894475">
    <w:abstractNumId w:val="7"/>
  </w:num>
  <w:num w:numId="7" w16cid:durableId="572397950">
    <w:abstractNumId w:val="6"/>
  </w:num>
  <w:num w:numId="8" w16cid:durableId="1439763964">
    <w:abstractNumId w:val="1"/>
  </w:num>
  <w:num w:numId="9" w16cid:durableId="544759144">
    <w:abstractNumId w:val="10"/>
  </w:num>
  <w:num w:numId="10" w16cid:durableId="2102607598">
    <w:abstractNumId w:val="2"/>
  </w:num>
  <w:num w:numId="11" w16cid:durableId="916474791">
    <w:abstractNumId w:val="9"/>
  </w:num>
  <w:num w:numId="12" w16cid:durableId="1182859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641"/>
    <w:rsid w:val="00092468"/>
    <w:rsid w:val="000A0C97"/>
    <w:rsid w:val="000A32A4"/>
    <w:rsid w:val="00117899"/>
    <w:rsid w:val="00121F37"/>
    <w:rsid w:val="001C78DE"/>
    <w:rsid w:val="00212D11"/>
    <w:rsid w:val="00231AB5"/>
    <w:rsid w:val="002A585D"/>
    <w:rsid w:val="002E7C21"/>
    <w:rsid w:val="00327856"/>
    <w:rsid w:val="003621E0"/>
    <w:rsid w:val="00367167"/>
    <w:rsid w:val="003A0DA8"/>
    <w:rsid w:val="003B1AA1"/>
    <w:rsid w:val="00454384"/>
    <w:rsid w:val="005543C5"/>
    <w:rsid w:val="0058544B"/>
    <w:rsid w:val="00615CEE"/>
    <w:rsid w:val="00697DF2"/>
    <w:rsid w:val="00705641"/>
    <w:rsid w:val="00760746"/>
    <w:rsid w:val="007E7A00"/>
    <w:rsid w:val="008714FB"/>
    <w:rsid w:val="008B7D0C"/>
    <w:rsid w:val="008C72CF"/>
    <w:rsid w:val="008D692C"/>
    <w:rsid w:val="008D6EDA"/>
    <w:rsid w:val="00941479"/>
    <w:rsid w:val="00957EA8"/>
    <w:rsid w:val="009F4A8D"/>
    <w:rsid w:val="00A31CDF"/>
    <w:rsid w:val="00A3618E"/>
    <w:rsid w:val="00A50B7B"/>
    <w:rsid w:val="00AB63A1"/>
    <w:rsid w:val="00B3016F"/>
    <w:rsid w:val="00B3422B"/>
    <w:rsid w:val="00B4148B"/>
    <w:rsid w:val="00C56A9F"/>
    <w:rsid w:val="00C57BF3"/>
    <w:rsid w:val="00C85B12"/>
    <w:rsid w:val="00CB0803"/>
    <w:rsid w:val="00D32AD1"/>
    <w:rsid w:val="00D65514"/>
    <w:rsid w:val="00DC488F"/>
    <w:rsid w:val="00DC4985"/>
    <w:rsid w:val="00E20AAE"/>
    <w:rsid w:val="00E5264B"/>
    <w:rsid w:val="00E76C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E68B87"/>
  <w15:docId w15:val="{12390431-3271-4F8C-A708-A51E4949E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564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05641"/>
    <w:pPr>
      <w:ind w:left="720"/>
      <w:contextualSpacing/>
    </w:pPr>
  </w:style>
  <w:style w:type="paragraph" w:styleId="Tekstdymka">
    <w:name w:val="Balloon Text"/>
    <w:basedOn w:val="Normalny"/>
    <w:link w:val="TekstdymkaZnak"/>
    <w:uiPriority w:val="99"/>
    <w:semiHidden/>
    <w:unhideWhenUsed/>
    <w:rsid w:val="002A585D"/>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585D"/>
    <w:rPr>
      <w:rFonts w:ascii="Segoe UI" w:eastAsia="Times New Roman" w:hAnsi="Segoe UI" w:cs="Segoe UI"/>
      <w:sz w:val="18"/>
      <w:szCs w:val="18"/>
      <w:lang w:eastAsia="pl-PL"/>
    </w:rPr>
  </w:style>
  <w:style w:type="character" w:customStyle="1" w:styleId="FontStyle132">
    <w:name w:val="Font Style132"/>
    <w:rsid w:val="003B1AA1"/>
    <w:rPr>
      <w:rFonts w:ascii="Times New Roman" w:hAnsi="Times New Roman" w:cs="Times New Roman"/>
      <w:sz w:val="22"/>
      <w:szCs w:val="22"/>
    </w:rPr>
  </w:style>
  <w:style w:type="character" w:customStyle="1" w:styleId="FontStyle149">
    <w:name w:val="Font Style149"/>
    <w:rsid w:val="003B1AA1"/>
    <w:rPr>
      <w:rFonts w:ascii="Times New Roman" w:hAnsi="Times New Roman" w:cs="Times New Roman"/>
      <w:sz w:val="20"/>
      <w:szCs w:val="20"/>
    </w:rPr>
  </w:style>
  <w:style w:type="character" w:customStyle="1" w:styleId="FontStyle148">
    <w:name w:val="Font Style148"/>
    <w:rsid w:val="003B1AA1"/>
    <w:rPr>
      <w:rFonts w:ascii="Times New Roman" w:hAnsi="Times New Roman" w:cs="Times New Roman"/>
      <w:sz w:val="26"/>
      <w:szCs w:val="26"/>
    </w:rPr>
  </w:style>
  <w:style w:type="character" w:customStyle="1" w:styleId="FontStyle117">
    <w:name w:val="Font Style117"/>
    <w:rsid w:val="003B1AA1"/>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5207">
      <w:bodyDiv w:val="1"/>
      <w:marLeft w:val="0"/>
      <w:marRight w:val="0"/>
      <w:marTop w:val="0"/>
      <w:marBottom w:val="0"/>
      <w:divBdr>
        <w:top w:val="none" w:sz="0" w:space="0" w:color="auto"/>
        <w:left w:val="none" w:sz="0" w:space="0" w:color="auto"/>
        <w:bottom w:val="none" w:sz="0" w:space="0" w:color="auto"/>
        <w:right w:val="none" w:sz="0" w:space="0" w:color="auto"/>
      </w:divBdr>
    </w:div>
    <w:div w:id="1185049355">
      <w:bodyDiv w:val="1"/>
      <w:marLeft w:val="0"/>
      <w:marRight w:val="0"/>
      <w:marTop w:val="0"/>
      <w:marBottom w:val="0"/>
      <w:divBdr>
        <w:top w:val="none" w:sz="0" w:space="0" w:color="auto"/>
        <w:left w:val="none" w:sz="0" w:space="0" w:color="auto"/>
        <w:bottom w:val="none" w:sz="0" w:space="0" w:color="auto"/>
        <w:right w:val="none" w:sz="0" w:space="0" w:color="auto"/>
      </w:divBdr>
    </w:div>
    <w:div w:id="1667780928">
      <w:bodyDiv w:val="1"/>
      <w:marLeft w:val="0"/>
      <w:marRight w:val="0"/>
      <w:marTop w:val="0"/>
      <w:marBottom w:val="0"/>
      <w:divBdr>
        <w:top w:val="none" w:sz="0" w:space="0" w:color="auto"/>
        <w:left w:val="none" w:sz="0" w:space="0" w:color="auto"/>
        <w:bottom w:val="none" w:sz="0" w:space="0" w:color="auto"/>
        <w:right w:val="none" w:sz="0" w:space="0" w:color="auto"/>
      </w:divBdr>
    </w:div>
    <w:div w:id="199668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9D83A-BDB8-4546-8CBB-8A2A2631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4129</Words>
  <Characters>24776</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RCKiK</dc:creator>
  <cp:keywords/>
  <dc:description/>
  <cp:lastModifiedBy>Jakub Tereszczyński</cp:lastModifiedBy>
  <cp:revision>3</cp:revision>
  <cp:lastPrinted>2026-02-25T07:30:00Z</cp:lastPrinted>
  <dcterms:created xsi:type="dcterms:W3CDTF">2026-02-27T07:17:00Z</dcterms:created>
  <dcterms:modified xsi:type="dcterms:W3CDTF">2026-03-03T12:29:00Z</dcterms:modified>
</cp:coreProperties>
</file>